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84" w:after="320"/>
      </w:pPr>
      <w:r>
        <w:rPr>
          <w:sz w:val="24"/>
        </w:rPr>
        <w:t>BORN BETWEEN 2 GENERALS</w:t>
      </w:r>
    </w:p>
    <w:p>
      <w:pPr>
        <w:pStyle w:val="Title"/>
        <w:spacing w:after="440"/>
      </w:pPr>
      <w:r>
        <w:t>How We Got Here</w:t>
      </w:r>
    </w:p>
    <w:p>
      <w:pPr>
        <w:pStyle w:val="Subtitle"/>
        <w:spacing w:after="720"/>
      </w:pPr>
      <w:r>
        <w:t>Education in America</w:t>
        <w:br/>
        <w:t>1926 to 2026</w:t>
      </w:r>
    </w:p>
    <w:p>
      <w:r>
        <w:rPr>
          <w:sz w:val="44"/>
        </w:rPr>
        <w:t>Kristen Hall</w:t>
      </w:r>
    </w:p>
    <w:p>
      <w:pPr>
        <w:spacing w:before="700"/>
      </w:pPr>
      <w:r>
        <w:t>Volume One</w:t>
      </w:r>
    </w:p>
    <w:p>
      <w:r>
        <w:t>Revised documentary edition</w:t>
        <w:br/>
        <w:t>September 24, 2026</w:t>
      </w:r>
    </w:p>
    <w:p>
      <w:r>
        <w:br w:type="page"/>
      </w:r>
    </w:p>
    <w:p>
      <w:pPr>
        <w:pStyle w:val="Heading1"/>
      </w:pPr>
      <w:r>
        <w:t>Contents</w:t>
      </w:r>
    </w:p>
    <w:p>
      <w:pPr>
        <w:tabs>
          <w:tab w:pos="9763" w:val="right"/>
        </w:tabs>
        <w:spacing w:after="140" w:line="252" w:lineRule="auto"/>
      </w:pPr>
      <w:hyperlink w:anchor="section_0">
        <w:r>
          <w:rPr>
            <w:color w:val="000000"/>
          </w:rPr>
          <w:t>About this edition</w:t>
        </w:r>
      </w:hyperlink>
      <w:r>
        <w:rPr>
          <w:sz w:val="24"/>
        </w:rPr>
        <w:tab/>
        <w:t>4</w:t>
      </w:r>
    </w:p>
    <w:p>
      <w:pPr>
        <w:tabs>
          <w:tab w:pos="9763" w:val="right"/>
        </w:tabs>
        <w:spacing w:after="140" w:line="252" w:lineRule="auto"/>
      </w:pPr>
      <w:hyperlink w:anchor="section_1">
        <w:r>
          <w:rPr>
            <w:color w:val="000000"/>
          </w:rPr>
          <w:t>What this century shows</w:t>
        </w:r>
      </w:hyperlink>
      <w:r>
        <w:rPr>
          <w:sz w:val="24"/>
        </w:rPr>
        <w:tab/>
        <w:t>5</w:t>
      </w:r>
    </w:p>
    <w:p>
      <w:pPr>
        <w:tabs>
          <w:tab w:pos="9763" w:val="right"/>
        </w:tabs>
        <w:spacing w:after="140" w:line="252" w:lineRule="auto"/>
      </w:pPr>
      <w:hyperlink w:anchor="section_2">
        <w:r>
          <w:rPr>
            <w:color w:val="000000"/>
          </w:rPr>
          <w:t>Introduction</w:t>
        </w:r>
      </w:hyperlink>
      <w:r>
        <w:rPr>
          <w:sz w:val="24"/>
        </w:rPr>
        <w:tab/>
        <w:t>6</w:t>
      </w:r>
    </w:p>
    <w:p>
      <w:pPr>
        <w:tabs>
          <w:tab w:pos="9763" w:val="right"/>
        </w:tabs>
        <w:spacing w:after="140" w:line="252" w:lineRule="auto"/>
      </w:pPr>
      <w:hyperlink w:anchor="section_3">
        <w:r>
          <w:rPr>
            <w:color w:val="000000"/>
          </w:rPr>
          <w:t>Chapter 1 The foundations before 1926</w:t>
        </w:r>
      </w:hyperlink>
      <w:r>
        <w:rPr>
          <w:sz w:val="24"/>
        </w:rPr>
        <w:tab/>
        <w:t>8</w:t>
      </w:r>
    </w:p>
    <w:p>
      <w:pPr>
        <w:tabs>
          <w:tab w:pos="9763" w:val="right"/>
        </w:tabs>
        <w:spacing w:after="140" w:line="252" w:lineRule="auto"/>
      </w:pPr>
      <w:hyperlink w:anchor="section_4">
        <w:r>
          <w:rPr>
            <w:color w:val="000000"/>
          </w:rPr>
          <w:t>Chapter 2 A century of turning points</w:t>
        </w:r>
      </w:hyperlink>
      <w:r>
        <w:rPr>
          <w:sz w:val="24"/>
        </w:rPr>
        <w:tab/>
        <w:t>11</w:t>
      </w:r>
    </w:p>
    <w:p>
      <w:pPr>
        <w:tabs>
          <w:tab w:pos="9763" w:val="right"/>
        </w:tabs>
        <w:spacing w:after="140" w:line="252" w:lineRule="auto"/>
      </w:pPr>
      <w:hyperlink w:anchor="section_5">
        <w:r>
          <w:rPr>
            <w:color w:val="000000"/>
          </w:rPr>
          <w:t>Chapter 3 Constitution civics and social studies</w:t>
        </w:r>
      </w:hyperlink>
      <w:r>
        <w:rPr>
          <w:sz w:val="24"/>
        </w:rPr>
        <w:tab/>
        <w:t>15</w:t>
      </w:r>
    </w:p>
    <w:p>
      <w:pPr>
        <w:tabs>
          <w:tab w:pos="9763" w:val="right"/>
        </w:tabs>
        <w:spacing w:after="140" w:line="252" w:lineRule="auto"/>
      </w:pPr>
      <w:hyperlink w:anchor="section_6">
        <w:r>
          <w:rPr>
            <w:color w:val="000000"/>
          </w:rPr>
          <w:t>Chapter 4 Ideology and the power to shape a curriculum</w:t>
        </w:r>
      </w:hyperlink>
      <w:r>
        <w:rPr>
          <w:sz w:val="24"/>
        </w:rPr>
        <w:tab/>
        <w:t>18</w:t>
      </w:r>
    </w:p>
    <w:p>
      <w:pPr>
        <w:tabs>
          <w:tab w:pos="9763" w:val="right"/>
        </w:tabs>
        <w:spacing w:after="140" w:line="252" w:lineRule="auto"/>
      </w:pPr>
      <w:hyperlink w:anchor="section_7">
        <w:r>
          <w:rPr>
            <w:color w:val="000000"/>
          </w:rPr>
          <w:t>Chapter 5 Reading writing and the books children encounter</w:t>
        </w:r>
      </w:hyperlink>
      <w:r>
        <w:rPr>
          <w:sz w:val="24"/>
        </w:rPr>
        <w:tab/>
        <w:t>23</w:t>
      </w:r>
    </w:p>
    <w:p>
      <w:pPr>
        <w:tabs>
          <w:tab w:pos="9763" w:val="right"/>
        </w:tabs>
        <w:spacing w:after="140" w:line="252" w:lineRule="auto"/>
      </w:pPr>
      <w:hyperlink w:anchor="section_8">
        <w:r>
          <w:rPr>
            <w:color w:val="000000"/>
          </w:rPr>
          <w:t>Chapter 6 How the account of history changes</w:t>
        </w:r>
      </w:hyperlink>
      <w:r>
        <w:rPr>
          <w:sz w:val="24"/>
        </w:rPr>
        <w:tab/>
        <w:t>27</w:t>
      </w:r>
    </w:p>
    <w:p>
      <w:pPr>
        <w:tabs>
          <w:tab w:pos="9763" w:val="right"/>
        </w:tabs>
        <w:spacing w:after="140" w:line="252" w:lineRule="auto"/>
      </w:pPr>
      <w:hyperlink w:anchor="section_9">
        <w:r>
          <w:rPr>
            <w:color w:val="000000"/>
          </w:rPr>
          <w:t>Chapter 7 Mathematics science and national priorities</w:t>
        </w:r>
      </w:hyperlink>
      <w:r>
        <w:rPr>
          <w:sz w:val="24"/>
        </w:rPr>
        <w:tab/>
        <w:t>32</w:t>
      </w:r>
    </w:p>
    <w:p>
      <w:pPr>
        <w:tabs>
          <w:tab w:pos="9763" w:val="right"/>
        </w:tabs>
        <w:spacing w:after="140" w:line="252" w:lineRule="auto"/>
      </w:pPr>
      <w:hyperlink w:anchor="section_10">
        <w:r>
          <w:rPr>
            <w:color w:val="000000"/>
          </w:rPr>
          <w:t>Chapter 8 Religion conscience and moral education</w:t>
        </w:r>
      </w:hyperlink>
      <w:r>
        <w:rPr>
          <w:sz w:val="24"/>
        </w:rPr>
        <w:tab/>
        <w:t>35</w:t>
      </w:r>
    </w:p>
    <w:p>
      <w:pPr>
        <w:tabs>
          <w:tab w:pos="9763" w:val="right"/>
        </w:tabs>
        <w:spacing w:after="140" w:line="252" w:lineRule="auto"/>
      </w:pPr>
      <w:hyperlink w:anchor="section_11">
        <w:r>
          <w:rPr>
            <w:color w:val="000000"/>
          </w:rPr>
          <w:t>Chapter 9 The school day dress discipline and youth language</w:t>
        </w:r>
      </w:hyperlink>
      <w:r>
        <w:rPr>
          <w:sz w:val="24"/>
        </w:rPr>
        <w:tab/>
        <w:t>38</w:t>
      </w:r>
    </w:p>
    <w:p>
      <w:pPr>
        <w:tabs>
          <w:tab w:pos="9763" w:val="right"/>
        </w:tabs>
        <w:spacing w:after="140" w:line="252" w:lineRule="auto"/>
      </w:pPr>
      <w:hyperlink w:anchor="section_12">
        <w:r>
          <w:rPr>
            <w:color w:val="000000"/>
          </w:rPr>
          <w:t>Chapter 10 Physical education health and the use of the body</w:t>
        </w:r>
      </w:hyperlink>
      <w:r>
        <w:rPr>
          <w:sz w:val="24"/>
        </w:rPr>
        <w:tab/>
        <w:t>41</w:t>
      </w:r>
    </w:p>
    <w:p>
      <w:pPr>
        <w:tabs>
          <w:tab w:pos="9763" w:val="right"/>
        </w:tabs>
        <w:spacing w:after="140" w:line="252" w:lineRule="auto"/>
      </w:pPr>
      <w:hyperlink w:anchor="section_13">
        <w:r>
          <w:rPr>
            <w:color w:val="000000"/>
          </w:rPr>
          <w:t>Chapter 11 Practical skills home economics and work</w:t>
        </w:r>
      </w:hyperlink>
      <w:r>
        <w:rPr>
          <w:sz w:val="24"/>
        </w:rPr>
        <w:tab/>
        <w:t>44</w:t>
      </w:r>
    </w:p>
    <w:p>
      <w:r>
        <w:br w:type="page"/>
      </w:r>
    </w:p>
    <w:p>
      <w:pPr>
        <w:pStyle w:val="Heading1"/>
      </w:pPr>
      <w:r>
        <w:t>Contents continued</w:t>
      </w:r>
    </w:p>
    <w:p>
      <w:pPr>
        <w:tabs>
          <w:tab w:pos="9763" w:val="right"/>
        </w:tabs>
        <w:spacing w:after="140" w:line="252" w:lineRule="auto"/>
      </w:pPr>
      <w:hyperlink w:anchor="section_14">
        <w:r>
          <w:rPr>
            <w:color w:val="000000"/>
          </w:rPr>
          <w:t>Chapter 12 Teachers and the meaning of a credential</w:t>
        </w:r>
      </w:hyperlink>
      <w:r>
        <w:rPr>
          <w:sz w:val="24"/>
        </w:rPr>
        <w:tab/>
        <w:t>47</w:t>
      </w:r>
    </w:p>
    <w:p>
      <w:pPr>
        <w:tabs>
          <w:tab w:pos="9763" w:val="right"/>
        </w:tabs>
        <w:spacing w:after="140" w:line="252" w:lineRule="auto"/>
      </w:pPr>
      <w:hyperlink w:anchor="section_15">
        <w:r>
          <w:rPr>
            <w:color w:val="000000"/>
          </w:rPr>
          <w:t>Chapter 13 Access disability and the children in the comparison</w:t>
        </w:r>
      </w:hyperlink>
      <w:r>
        <w:rPr>
          <w:sz w:val="24"/>
        </w:rPr>
        <w:tab/>
        <w:t>50</w:t>
      </w:r>
    </w:p>
    <w:p>
      <w:pPr>
        <w:tabs>
          <w:tab w:pos="9763" w:val="right"/>
        </w:tabs>
        <w:spacing w:after="140" w:line="252" w:lineRule="auto"/>
      </w:pPr>
      <w:hyperlink w:anchor="section_16">
        <w:r>
          <w:rPr>
            <w:color w:val="000000"/>
          </w:rPr>
          <w:t>Chapter 14 Money publishing and the authority to choose</w:t>
        </w:r>
      </w:hyperlink>
      <w:r>
        <w:rPr>
          <w:sz w:val="24"/>
        </w:rPr>
        <w:tab/>
        <w:t>53</w:t>
      </w:r>
    </w:p>
    <w:p>
      <w:pPr>
        <w:tabs>
          <w:tab w:pos="9763" w:val="right"/>
        </w:tabs>
        <w:spacing w:after="140" w:line="252" w:lineRule="auto"/>
      </w:pPr>
      <w:hyperlink w:anchor="section_17">
        <w:r>
          <w:rPr>
            <w:color w:val="000000"/>
          </w:rPr>
          <w:t>Chapter 15 Adult misconduct and institutional accountability</w:t>
        </w:r>
      </w:hyperlink>
      <w:r>
        <w:rPr>
          <w:sz w:val="24"/>
        </w:rPr>
        <w:tab/>
        <w:t>55</w:t>
      </w:r>
    </w:p>
    <w:p>
      <w:pPr>
        <w:tabs>
          <w:tab w:pos="9763" w:val="right"/>
        </w:tabs>
        <w:spacing w:after="140" w:line="252" w:lineRule="auto"/>
      </w:pPr>
      <w:hyperlink w:anchor="section_18">
        <w:r>
          <w:rPr>
            <w:color w:val="000000"/>
          </w:rPr>
          <w:t>Chapter 16 Technology and the classroom after disruption</w:t>
        </w:r>
      </w:hyperlink>
      <w:r>
        <w:rPr>
          <w:sz w:val="24"/>
        </w:rPr>
        <w:tab/>
        <w:t>59</w:t>
      </w:r>
    </w:p>
    <w:p>
      <w:pPr>
        <w:tabs>
          <w:tab w:pos="9763" w:val="right"/>
        </w:tabs>
        <w:spacing w:after="140" w:line="252" w:lineRule="auto"/>
      </w:pPr>
      <w:hyperlink w:anchor="section_19">
        <w:r>
          <w:rPr>
            <w:color w:val="000000"/>
          </w:rPr>
          <w:t>Chapter 17 What the numbers can and cannot tell us</w:t>
        </w:r>
      </w:hyperlink>
      <w:r>
        <w:rPr>
          <w:sz w:val="24"/>
        </w:rPr>
        <w:tab/>
        <w:t>62</w:t>
      </w:r>
    </w:p>
    <w:p>
      <w:pPr>
        <w:tabs>
          <w:tab w:pos="9763" w:val="right"/>
        </w:tabs>
        <w:spacing w:after="140" w:line="252" w:lineRule="auto"/>
      </w:pPr>
      <w:hyperlink w:anchor="section_20">
        <w:r>
          <w:rPr>
            <w:color w:val="000000"/>
          </w:rPr>
          <w:t>Chapter 18 Arts languages and the parts of education that do not fit one score</w:t>
        </w:r>
      </w:hyperlink>
      <w:r>
        <w:rPr>
          <w:sz w:val="24"/>
        </w:rPr>
        <w:tab/>
        <w:t>66</w:t>
      </w:r>
    </w:p>
    <w:p>
      <w:pPr>
        <w:tabs>
          <w:tab w:pos="9763" w:val="right"/>
        </w:tabs>
        <w:spacing w:after="140" w:line="252" w:lineRule="auto"/>
      </w:pPr>
      <w:hyperlink w:anchor="section_21">
        <w:r>
          <w:rPr>
            <w:color w:val="000000"/>
          </w:rPr>
          <w:t>Chapter 19 The recurring method for tracing influence</w:t>
        </w:r>
      </w:hyperlink>
      <w:r>
        <w:rPr>
          <w:sz w:val="24"/>
        </w:rPr>
        <w:tab/>
        <w:t>69</w:t>
      </w:r>
    </w:p>
    <w:p>
      <w:pPr>
        <w:tabs>
          <w:tab w:pos="9763" w:val="right"/>
        </w:tabs>
        <w:spacing w:after="140" w:line="252" w:lineRule="auto"/>
      </w:pPr>
      <w:hyperlink w:anchor="section_22">
        <w:r>
          <w:rPr>
            <w:color w:val="000000"/>
          </w:rPr>
          <w:t>Chapter 20 What an honest accounting asks of us</w:t>
        </w:r>
      </w:hyperlink>
      <w:r>
        <w:rPr>
          <w:sz w:val="24"/>
        </w:rPr>
        <w:tab/>
        <w:t>73</w:t>
      </w:r>
    </w:p>
    <w:p>
      <w:pPr>
        <w:tabs>
          <w:tab w:pos="9763" w:val="right"/>
        </w:tabs>
        <w:spacing w:after="140" w:line="252" w:lineRule="auto"/>
      </w:pPr>
      <w:hyperlink w:anchor="section_23">
        <w:r>
          <w:rPr>
            <w:color w:val="000000"/>
          </w:rPr>
          <w:t>Appendix A Terminology across the record</w:t>
        </w:r>
      </w:hyperlink>
      <w:r>
        <w:rPr>
          <w:sz w:val="24"/>
        </w:rPr>
        <w:tab/>
        <w:t>76</w:t>
      </w:r>
    </w:p>
    <w:p>
      <w:pPr>
        <w:tabs>
          <w:tab w:pos="9763" w:val="right"/>
        </w:tabs>
        <w:spacing w:after="140" w:line="252" w:lineRule="auto"/>
      </w:pPr>
      <w:hyperlink w:anchor="section_24">
        <w:r>
          <w:rPr>
            <w:color w:val="000000"/>
          </w:rPr>
          <w:t>Appendix B A reader guide to evaluating a claim</w:t>
        </w:r>
      </w:hyperlink>
      <w:r>
        <w:rPr>
          <w:sz w:val="24"/>
        </w:rPr>
        <w:tab/>
        <w:t>78</w:t>
      </w:r>
    </w:p>
    <w:p>
      <w:pPr>
        <w:tabs>
          <w:tab w:pos="9763" w:val="right"/>
        </w:tabs>
        <w:spacing w:after="140" w:line="252" w:lineRule="auto"/>
      </w:pPr>
      <w:hyperlink w:anchor="section_25">
        <w:r>
          <w:rPr>
            <w:color w:val="000000"/>
          </w:rPr>
          <w:t>Appendix C Findings and questions for the next edition</w:t>
        </w:r>
      </w:hyperlink>
      <w:r>
        <w:rPr>
          <w:sz w:val="24"/>
        </w:rPr>
        <w:tab/>
        <w:t>79</w:t>
      </w:r>
    </w:p>
    <w:p>
      <w:pPr>
        <w:tabs>
          <w:tab w:pos="9763" w:val="right"/>
        </w:tabs>
        <w:spacing w:after="140" w:line="252" w:lineRule="auto"/>
      </w:pPr>
      <w:hyperlink w:anchor="section_26">
        <w:r>
          <w:rPr>
            <w:color w:val="000000"/>
          </w:rPr>
          <w:t>Appendix D A documentary reading shelf</w:t>
        </w:r>
      </w:hyperlink>
      <w:r>
        <w:rPr>
          <w:sz w:val="24"/>
        </w:rPr>
        <w:tab/>
        <w:t>80</w:t>
      </w:r>
    </w:p>
    <w:p>
      <w:pPr>
        <w:tabs>
          <w:tab w:pos="9763" w:val="right"/>
        </w:tabs>
        <w:spacing w:after="140" w:line="252" w:lineRule="auto"/>
      </w:pPr>
      <w:hyperlink w:anchor="section_27">
        <w:r>
          <w:rPr>
            <w:color w:val="000000"/>
          </w:rPr>
          <w:t>Appendix E Questions for discussion and reporting</w:t>
        </w:r>
      </w:hyperlink>
      <w:r>
        <w:rPr>
          <w:sz w:val="24"/>
        </w:rPr>
        <w:tab/>
        <w:t>81</w:t>
      </w:r>
    </w:p>
    <w:p>
      <w:pPr>
        <w:tabs>
          <w:tab w:pos="9763" w:val="right"/>
        </w:tabs>
        <w:spacing w:after="140" w:line="252" w:lineRule="auto"/>
      </w:pPr>
      <w:hyperlink w:anchor="section_28">
        <w:r>
          <w:rPr>
            <w:color w:val="000000"/>
          </w:rPr>
          <w:t>Source notes</w:t>
        </w:r>
      </w:hyperlink>
      <w:r>
        <w:rPr>
          <w:sz w:val="24"/>
        </w:rPr>
        <w:tab/>
        <w:t>82</w:t>
      </w:r>
    </w:p>
    <w:p>
      <w:r>
        <w:br w:type="page"/>
      </w:r>
    </w:p>
    <w:p>
      <w:bookmarkStart w:id="1000" w:name="section_0"/>
      <w:pPr>
        <w:pStyle w:val="Heading1"/>
      </w:pPr>
      <w:r>
        <w:t>About this edition</w:t>
      </w:r>
      <w:bookmarkEnd w:id="1000"/>
    </w:p>
    <w:p>
      <w:r>
        <w:t>This book investigates changes in American education through the language, laws, books, institutions and decisions that shaped it. Its principal window is 1926 through September 24, 2026, with an opening account of earlier foundations. It concentrates on the United States and uses selected examples rather than claiming that every school followed one national sequence.</w:t>
      </w:r>
    </w:p>
    <w:p>
      <w:r>
        <w:t>The central finding is that educational change has several routes. A court can change the rules of access. A publisher can change what appears on a page. A professional association can change a field’s name. A government can finance particular subjects. An educator can advocate a different social order. Each route leaves different evidence, and each creates different questions about authority and consequences.</w:t>
      </w:r>
    </w:p>
    <w:p>
      <w:r>
        <w:t>The chapters follow selected documentary trails across the century. National proposals appear alongside laws, professional decisions and individual educational artifacts. A comparison of two New York history examinations supplies a closer view of what students were actually asked to do. Each finding keeps its geographical and evidentiary limits visible.</w:t>
      </w:r>
    </w:p>
    <w:p>
      <w:r>
        <w:t>Historical legal decisions are discussed as historical events, not as a current legal handbook. Changing regulations and local requirements require a separate check before operational use.</w:t>
      </w:r>
    </w:p>
    <w:p>
      <w:r>
        <w:t>The research cutoff is September 24, 2026. A source published in 2025 about a 2024 examination is identified by the year of the examination in the narrative. The existence of a recent webpage does not mean that its underlying data describe 2026.</w:t>
      </w:r>
    </w:p>
    <w:p>
      <w:bookmarkStart w:id="1001" w:name="section_1"/>
      <w:pPr>
        <w:pStyle w:val="Heading1"/>
        <w:pageBreakBefore/>
      </w:pPr>
      <w:r>
        <w:t>What this century shows</w:t>
      </w:r>
      <w:bookmarkEnd w:id="1001"/>
    </w:p>
    <w:p>
      <w:r>
        <w:t>American education changed through revised aims, organized advocacy, legislation, court decisions, professional standards, purchasing decisions and new tools. This book examines how those channels changed what children were taught, who could participate and who could challenge institutional decisions.</w:t>
      </w:r>
    </w:p>
    <w:p>
      <w:r>
        <w:t>Several findings are firm. Civics and social studies appeared together in a 1916 reform report. A 1918 commission proposed a broad social mission for secondary schooling. George S. Counts openly urged social reconstruction in 1932. Later legal changes altered access and the limits of public-school authority. Professional organizations changed names and testing methods. The chapters connect these findings to their sources.</w:t>
      </w:r>
    </w:p>
    <w:p>
      <w:r>
        <w:t>The evidence supports scrutiny of ideological influence while distinguishing a published ambition, an adopted program and an observed consequence. An advocate’s words establish what that advocate sought. Training materials, purchasing records, schedules and student work establish different parts of implementation. The argument follows those connections as far as the record allows.</w:t>
      </w:r>
    </w:p>
    <w:p>
      <w:r>
        <w:t>The volume covers curriculum, religion, school culture, practical skills, credentials, disability, finance, adult misconduct, technology and the arts. It shows expanded opportunities alongside failures of accountability. A credential can become more common while its meaning remains contested. A protective policy can exist while staff misunderstand how to use it. A renamed subject can preserve old content or conceal a substantive change.</w:t>
      </w:r>
    </w:p>
    <w:p>
      <w:r>
        <w:t>The timeline, subject chapters and five appendices connect the historical findings to terminology, source records and further inquiry.</w:t>
      </w:r>
    </w:p>
    <w:p>
      <w:r>
        <w:t>Children bear the consequences when adults confuse institutional promises with educational performance. This series asks who made the consequential decisions, what they promised and what the record shows happened afterward.</w:t>
      </w:r>
    </w:p>
    <w:p>
      <w:bookmarkStart w:id="1002" w:name="section_2"/>
      <w:pPr>
        <w:pStyle w:val="Heading1"/>
        <w:pageBreakBefore/>
      </w:pPr>
      <w:r>
        <w:t>Introduction</w:t>
      </w:r>
      <w:bookmarkEnd w:id="1002"/>
    </w:p>
    <w:p>
      <w:pPr>
        <w:pStyle w:val="Heading2"/>
      </w:pPr>
      <w:r>
        <w:t>The questions we inherit</w:t>
      </w:r>
    </w:p>
    <w:p>
      <w:r>
        <w:t>Start with the document a student actually receives. On the first page of questions in New York’s January 1998 history examination, the student encounters federalism and constitutional powers. In January 2025, constitutional questions appear again, this time alongside a different arrangement of documents and essays. The title of the examination has endured. Some of the work beneath that title has changed. Chapter 6 places these records beside each other.</w:t>
      </w:r>
    </w:p>
    <w:p>
      <w:r>
        <w:t>That is the kind of comparison I want this book to make possible. A class can keep its name while its demands change. It can acquire a new name while preserving much of its content. To understand either development, I want to know what a student was expected to learn, who made that decision and what happened afterward.</w:t>
      </w:r>
    </w:p>
    <w:p>
      <w:r>
        <w:t>Education is where I want to begin because it reaches into almost everything else. A school teaches children to read, but it also decides what they will be asked to read. It explains authority while exercising authority. It prepares young people for work while making judgments about which work deserves preparation. It can give a child tools for independence. It can also ask that child to accept an explanation without learning how to examine it.</w:t>
      </w:r>
    </w:p>
    <w:p>
      <w:r>
        <w:t>My starting questions are direct. What changed? Who wanted the change? What did they say they were trying to accomplish? Who paid for it? What happened to the children who lived through it? And when a change is described as progress, decline, reform or protection, what evidence supports that description?</w:t>
      </w:r>
    </w:p>
    <w:p>
      <w:r>
        <w:t>I am interested in ideological influence, including socialist and collectivist arguments about schooling. I am equally interested in the point where an argument becomes institutional practice. A person’s published intentions are evidence of those intentions. To establish their effect, we must follow the people, decisions and materials that carried the ideas into a school. That is a more demanding investigation, and a more useful one.</w:t>
      </w:r>
    </w:p>
    <w:p>
      <w:r>
        <w:t>This book also leaves room for findings that complicate its starting questions. An older school may have taught a subject rigorously while excluding children who deserved access to it. A reform may have expanded access while introducing a weak instructional method. A familiar word may remain in use after its meaning has shifted. A new word may describe work that teachers were already doing.</w:t>
      </w:r>
    </w:p>
    <w:p>
      <w:r>
        <w:t>I do not want readers to depend on my confidence. I want them to be able to inspect the record. The recurring method in these chapters makes each step visible: the change, its setting, its advocates, the route into practice, its consequences and the evidence that might challenge the explanation.</w:t>
      </w:r>
    </w:p>
    <w:p>
      <w:r>
        <w:t>The human stakes remain close to the surface. Behind a graduation statistic is a student who can or cannot use what a diploma promises. Behind a reporting policy is a child deciding whether an adult will listen. Behind an argument about national identity is a classroom learning who belongs in the national story. We owe those children more than a contest between reassuring memories and fashionable promises.</w:t>
      </w:r>
    </w:p>
    <w:p>
      <w:r>
        <w:t>The century examined here offers no single, uninterrupted march toward improvement or collapse. It offers decisions that can be traced and consequences that deserve a fair accounting. The purpose of this series is to help us perform that accounting with enough care that our conclusions remain useful when someone disagrees with them.</w:t>
      </w:r>
    </w:p>
    <w:p>
      <w:bookmarkStart w:id="1003" w:name="section_3"/>
      <w:pPr>
        <w:pStyle w:val="Heading1"/>
        <w:pageBreakBefore/>
      </w:pPr>
      <w:r>
        <w:t>Chapter 1 The foundations before 1926</w:t>
      </w:r>
      <w:bookmarkEnd w:id="1003"/>
    </w:p>
    <w:p>
      <w:pPr>
        <w:pStyle w:val="Heading2"/>
      </w:pPr>
      <w:r>
        <w:t>A public purpose with competing meanings</w:t>
      </w:r>
    </w:p>
    <w:p>
      <w:r>
        <w:t>Article III of the Northwest Ordinance of 1787 linked schooling with religion, morality, knowledge and good government. It is a useful starting document because it places education inside a public argument about the kind of society the new territories should become. It does not supply a national curriculum or establish that every community understood religion and schooling in the same way.</w:t>
      </w:r>
      <w:hyperlink w:anchor="note_1">
        <w:r>
          <w:rPr>
            <w:color w:val="000000"/>
            <w:vertAlign w:val="superscript"/>
          </w:rPr>
          <w:t>1</w:t>
        </w:r>
      </w:hyperlink>
      <w:r/>
    </w:p>
    <w:p>
      <w:r>
        <w:t>The word “fundamental” can conceal a disagreement. For one family, fundamentals mean decoding, arithmetic and clear writing. For another, they include religious formation. A government may emphasize the ability to exercise citizenship. An employer may emphasize punctuality and practical competence. Those purposes can overlap, but a school still has to allocate finite hours among them.</w:t>
      </w:r>
    </w:p>
    <w:p>
      <w:r>
        <w:t>We should therefore ask two questions of an early school. What did it promise to teach? Who could actually receive that teaching? The first question reveals its educational ideal. The second reveals the boundaries of that ideal. An account that examines only one will misdescribe the experience of the community.</w:t>
      </w:r>
    </w:p>
    <w:p>
      <w:pPr>
        <w:pStyle w:val="Heading2"/>
      </w:pPr>
      <w:r>
        <w:t>What an old reader can tell us</w:t>
      </w:r>
    </w:p>
    <w:p>
      <w:r>
        <w:t>The Smithsonian holds a 1920 revised edition of McGuffey’s Second Eclectic Reader. Its object history traces the series to the 1830s and records later changes in publishing ownership. That surviving book makes an important point about the beginning of our timeline: a publication used or preserved in the twentieth century may carry an older educational tradition. The date on one edition cannot stand for the entire life of a series.</w:t>
      </w:r>
      <w:hyperlink w:anchor="note_2">
        <w:r>
          <w:rPr>
            <w:color w:val="000000"/>
            <w:vertAlign w:val="superscript"/>
          </w:rPr>
          <w:t>2</w:t>
        </w:r>
      </w:hyperlink>
      <w:r/>
    </w:p>
    <w:p>
      <w:r>
        <w:t>A reader is evidence of selected language and lessons. Ownership marks, wear and annotations may establish additional facts about a particular copy. To claim that a generation encountered its content, however, we need adoption records, purchasing information, classroom documentation or a sufficiently representative collection of accounts. The presence of a book in a museum establishes survival, not nationwide exposure.</w:t>
      </w:r>
    </w:p>
    <w:p>
      <w:r>
        <w:t>Consider the questions a family can ask while comparing an old reader with a newer one. How long are the passages? Which words receive explanation? Does the exercise ask for recitation, inference, summary or disagreement? Who speaks in the story? What conduct wins approval? These are observable features. They allow a precise discussion of values without claiming access to every author’s hidden intention.</w:t>
      </w:r>
    </w:p>
    <w:p>
      <w:pPr>
        <w:pStyle w:val="Heading2"/>
      </w:pPr>
      <w:r>
        <w:t>The school as a social institution before 1926</w:t>
      </w:r>
    </w:p>
    <w:p>
      <w:r>
        <w:t>By 1918, a national reform commission was already arguing that secondary education should address much more than academic subjects. Its Cardinal Principles of Secondary Education identified seven objectives: health, basic intellectual tools, family life, work, citizenship, leisure and ethical character. Reading, writing and arithmetic remained essential, but the report placed them within a wider account of how people should live. It also recommended the comprehensive high school as a setting that could bring different groups together.</w:t>
      </w:r>
      <w:hyperlink w:anchor="note_3">
        <w:r>
          <w:rPr>
            <w:color w:val="000000"/>
            <w:vertAlign w:val="superscript"/>
          </w:rPr>
          <w:t>3</w:t>
        </w:r>
      </w:hyperlink>
      <w:r/>
    </w:p>
    <w:p>
      <w:r>
        <w:t>This source changes the baseline. The contest over a school’s social role did not begin late in the twentieth century. It was explicit before our hundred-year window opened. The questions inherited by 1926 already included how much authority a school should exercise over family preparation, health, conduct and civic identity.</w:t>
      </w:r>
    </w:p>
    <w:p>
      <w:r>
        <w:t>A family could welcome practical instruction and still question who defined a desirable life. That tension belongs at the beginning of the story. The historical choice was never simply between teaching skills and teaching values. It concerned which skills, which values and whose authority would govern their relationship.</w:t>
      </w:r>
    </w:p>
    <w:p>
      <w:pPr>
        <w:pStyle w:val="Heading2"/>
      </w:pPr>
      <w:r>
        <w:t>The danger of choosing a golden baseline</w:t>
      </w:r>
    </w:p>
    <w:p>
      <w:r>
        <w:t>A centennial comparison tempts us to make 1926 the standard by which every later development is judged. The date is an organizing choice, not evidence that schools had reached an ideal balance. To evaluate change, we need a baseline with visible limitations.</w:t>
      </w:r>
    </w:p>
    <w:p>
      <w:r>
        <w:t>A rural school, an urban high school, a religious academy and a school operating under racial segregation cannot be treated as interchangeable examples of “the old system.” Neither can the experiences of a child who completed secondary school and a child who left formal schooling early. A curriculum may have been demanding partly because it served a selected group. That possibility belongs in the comparison, even when the surviving examination is impressive.</w:t>
      </w:r>
    </w:p>
    <w:p>
      <w:r>
        <w:t>The earlier foundations also reveal how much institutional purpose can hide inside a neutral administrative label. A record classified as schooling may involve voluntary learning, compulsory attendance or forced separation from family. The Bureau of Indian Affairs’ Federal Indian Boarding School Initiative published investigative reports in 2022 and 2024 about the federal boarding-school system and its legacy. That record requires a distinct place in educational history; it cannot be folded into an uncomplicated story of access expanding.</w:t>
      </w:r>
      <w:hyperlink w:anchor="note_4">
        <w:r>
          <w:rPr>
            <w:color w:val="000000"/>
            <w:vertAlign w:val="superscript"/>
          </w:rPr>
          <w:t>4</w:t>
        </w:r>
      </w:hyperlink>
      <w:r/>
    </w:p>
    <w:p>
      <w:pPr>
        <w:pStyle w:val="Heading2"/>
      </w:pPr>
      <w:r>
        <w:t>What changed and why it matters</w:t>
      </w:r>
    </w:p>
    <w:p>
      <w:pPr>
        <w:keepLines/>
      </w:pPr>
      <w:r>
        <w:t>The century begins with an already contested social mission for schooling. Recovering useful older practices requires identifying both what schools taught and whom they served.</w:t>
      </w:r>
    </w:p>
    <w:p>
      <w:bookmarkStart w:id="1004" w:name="section_4"/>
      <w:pPr>
        <w:pStyle w:val="Heading1"/>
        <w:pageBreakBefore/>
      </w:pPr>
      <w:r>
        <w:t>Chapter 2 A century of turning points</w:t>
      </w:r>
      <w:bookmarkEnd w:id="1004"/>
    </w:p>
    <w:p>
      <w:pPr>
        <w:pStyle w:val="Heading2"/>
      </w:pPr>
      <w:r>
        <w:t>Reading a timeline without inventing a single cause</w:t>
      </w:r>
    </w:p>
    <w:p>
      <w:r>
        <w:t>The timeline below is a map of selected documentary milestones. Some entries are laws, others are reports, court decisions or organizational changes. They do not all have the same reach. A report may recommend what a statute later requires, but those are separate events. A judicial ruling can establish a principle while implementation remains contested.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1771"/>
        <w:gridCol w:w="3917"/>
        <w:gridCol w:w="4306"/>
      </w:tblGrid>
      <w:tr>
        <w:trPr>
          <w:cantSplit/>
          <w:tblHeader/>
        </w:trPr>
        <w:tc>
          <w:tcPr>
            <w:tcW w:type="dxa" w:w="1771"/>
            <w:vAlign w:val="center"/>
            <w:shd w:fill="243746"/>
          </w:tcPr>
          <w:p>
            <w:pPr>
              <w:spacing w:after="20" w:line="254" w:lineRule="auto"/>
              <w:jc w:val="center"/>
            </w:pPr>
            <w:r>
              <w:rPr>
                <w:b/>
                <w:color w:val="FFFFFF"/>
                <w:sz w:val="24"/>
              </w:rPr>
              <w:t>Period or year</w:t>
            </w:r>
          </w:p>
        </w:tc>
        <w:tc>
          <w:tcPr>
            <w:tcW w:type="dxa" w:w="3917"/>
            <w:vAlign w:val="center"/>
            <w:shd w:fill="243746"/>
          </w:tcPr>
          <w:p>
            <w:pPr>
              <w:spacing w:after="20" w:line="254" w:lineRule="auto"/>
            </w:pPr>
            <w:r>
              <w:rPr>
                <w:b/>
                <w:color w:val="FFFFFF"/>
                <w:sz w:val="24"/>
              </w:rPr>
              <w:t>Documentary milestone</w:t>
            </w:r>
          </w:p>
        </w:tc>
        <w:tc>
          <w:tcPr>
            <w:tcW w:type="dxa" w:w="4306"/>
            <w:vAlign w:val="center"/>
            <w:shd w:fill="243746"/>
          </w:tcPr>
          <w:p>
            <w:pPr>
              <w:spacing w:after="20" w:line="254" w:lineRule="auto"/>
            </w:pPr>
            <w:r>
              <w:rPr>
                <w:b/>
                <w:color w:val="FFFFFF"/>
                <w:sz w:val="24"/>
              </w:rPr>
              <w:t>What to follow afterward</w:t>
            </w:r>
          </w:p>
        </w:tc>
      </w:tr>
      <w:tr>
        <w:trPr>
          <w:cantSplit/>
        </w:trPr>
        <w:tc>
          <w:tcPr>
            <w:tcW w:type="dxa" w:w="1771"/>
            <w:vAlign w:val="center"/>
            <w:shd w:fill="FFFFFF"/>
          </w:tcPr>
          <w:p>
            <w:pPr>
              <w:spacing w:after="20" w:line="254" w:lineRule="auto"/>
              <w:jc w:val="center"/>
            </w:pPr>
            <w:r>
              <w:rPr>
                <w:b w:val="0"/>
                <w:color w:val="000000"/>
                <w:sz w:val="24"/>
              </w:rPr>
              <w:t>1916 before the main window</w:t>
            </w:r>
          </w:p>
        </w:tc>
        <w:tc>
          <w:tcPr>
            <w:tcW w:type="dxa" w:w="3917"/>
            <w:vAlign w:val="center"/>
            <w:shd w:fill="FFFFFF"/>
          </w:tcPr>
          <w:p>
            <w:pPr>
              <w:spacing w:after="20" w:line="254" w:lineRule="auto"/>
            </w:pPr>
            <w:r>
              <w:rPr>
                <w:b w:val="0"/>
                <w:color w:val="000000"/>
                <w:sz w:val="24"/>
              </w:rPr>
              <w:t>Federal publication of a social-studies committee report</w:t>
            </w:r>
          </w:p>
        </w:tc>
        <w:tc>
          <w:tcPr>
            <w:tcW w:type="dxa" w:w="4306"/>
            <w:vAlign w:val="center"/>
            <w:shd w:fill="FFFFFF"/>
          </w:tcPr>
          <w:p>
            <w:pPr>
              <w:spacing w:after="20" w:line="254" w:lineRule="auto"/>
            </w:pPr>
            <w:r>
              <w:rPr>
                <w:b w:val="0"/>
                <w:color w:val="000000"/>
                <w:sz w:val="24"/>
              </w:rPr>
              <w:t>Which schools adopted its proposed organization</w:t>
            </w:r>
          </w:p>
        </w:tc>
      </w:tr>
      <w:tr>
        <w:trPr>
          <w:cantSplit/>
        </w:trPr>
        <w:tc>
          <w:tcPr>
            <w:tcW w:type="dxa" w:w="1771"/>
            <w:vAlign w:val="center"/>
            <w:shd w:fill="F2F5F6"/>
          </w:tcPr>
          <w:p>
            <w:pPr>
              <w:spacing w:after="20" w:line="254" w:lineRule="auto"/>
              <w:jc w:val="center"/>
            </w:pPr>
            <w:r>
              <w:rPr>
                <w:b w:val="0"/>
                <w:color w:val="000000"/>
                <w:sz w:val="24"/>
              </w:rPr>
              <w:t>1926 starting window</w:t>
            </w:r>
          </w:p>
        </w:tc>
        <w:tc>
          <w:tcPr>
            <w:tcW w:type="dxa" w:w="3917"/>
            <w:vAlign w:val="center"/>
            <w:shd w:fill="F2F5F6"/>
          </w:tcPr>
          <w:p>
            <w:pPr>
              <w:spacing w:after="20" w:line="254" w:lineRule="auto"/>
            </w:pPr>
            <w:r>
              <w:rPr>
                <w:b w:val="0"/>
                <w:color w:val="000000"/>
                <w:sz w:val="24"/>
              </w:rPr>
              <w:t>The century begins amid inherited and competing educational traditions</w:t>
            </w:r>
          </w:p>
        </w:tc>
        <w:tc>
          <w:tcPr>
            <w:tcW w:type="dxa" w:w="4306"/>
            <w:vAlign w:val="center"/>
            <w:shd w:fill="F2F5F6"/>
          </w:tcPr>
          <w:p>
            <w:pPr>
              <w:spacing w:after="20" w:line="254" w:lineRule="auto"/>
            </w:pPr>
            <w:r>
              <w:rPr>
                <w:b w:val="0"/>
                <w:color w:val="000000"/>
                <w:sz w:val="24"/>
              </w:rPr>
              <w:t>Local schedules, textbooks and participation</w:t>
            </w:r>
          </w:p>
        </w:tc>
      </w:tr>
      <w:tr>
        <w:trPr>
          <w:cantSplit/>
        </w:trPr>
        <w:tc>
          <w:tcPr>
            <w:tcW w:type="dxa" w:w="1771"/>
            <w:vAlign w:val="center"/>
            <w:shd w:fill="FFFFFF"/>
          </w:tcPr>
          <w:p>
            <w:pPr>
              <w:spacing w:after="20" w:line="254" w:lineRule="auto"/>
              <w:jc w:val="center"/>
            </w:pPr>
            <w:r>
              <w:rPr>
                <w:b w:val="0"/>
                <w:color w:val="000000"/>
                <w:sz w:val="24"/>
              </w:rPr>
              <w:t>1932</w:t>
            </w:r>
          </w:p>
        </w:tc>
        <w:tc>
          <w:tcPr>
            <w:tcW w:type="dxa" w:w="3917"/>
            <w:vAlign w:val="center"/>
            <w:shd w:fill="FFFFFF"/>
          </w:tcPr>
          <w:p>
            <w:pPr>
              <w:spacing w:after="20" w:line="254" w:lineRule="auto"/>
            </w:pPr>
            <w:r>
              <w:rPr>
                <w:b w:val="0"/>
                <w:color w:val="000000"/>
                <w:sz w:val="24"/>
              </w:rPr>
              <w:t>Counts publishes an argument for schooling and social reconstruction</w:t>
            </w:r>
          </w:p>
        </w:tc>
        <w:tc>
          <w:tcPr>
            <w:tcW w:type="dxa" w:w="4306"/>
            <w:vAlign w:val="center"/>
            <w:shd w:fill="FFFFFF"/>
          </w:tcPr>
          <w:p>
            <w:pPr>
              <w:spacing w:after="20" w:line="254" w:lineRule="auto"/>
            </w:pPr>
            <w:r>
              <w:rPr>
                <w:b w:val="0"/>
                <w:color w:val="000000"/>
                <w:sz w:val="24"/>
              </w:rPr>
              <w:t>Actual routes of influence and adoption</w:t>
            </w:r>
          </w:p>
        </w:tc>
      </w:tr>
      <w:tr>
        <w:trPr>
          <w:cantSplit/>
        </w:trPr>
        <w:tc>
          <w:tcPr>
            <w:tcW w:type="dxa" w:w="1771"/>
            <w:vAlign w:val="center"/>
            <w:shd w:fill="F2F5F6"/>
          </w:tcPr>
          <w:p>
            <w:pPr>
              <w:spacing w:after="20" w:line="254" w:lineRule="auto"/>
              <w:jc w:val="center"/>
            </w:pPr>
            <w:r>
              <w:rPr>
                <w:b w:val="0"/>
                <w:color w:val="000000"/>
                <w:sz w:val="24"/>
              </w:rPr>
              <w:t>1937</w:t>
            </w:r>
          </w:p>
        </w:tc>
        <w:tc>
          <w:tcPr>
            <w:tcW w:type="dxa" w:w="3917"/>
            <w:vAlign w:val="center"/>
            <w:shd w:fill="F2F5F6"/>
          </w:tcPr>
          <w:p>
            <w:pPr>
              <w:spacing w:after="20" w:line="254" w:lineRule="auto"/>
            </w:pPr>
            <w:r>
              <w:rPr>
                <w:b w:val="0"/>
                <w:color w:val="000000"/>
                <w:sz w:val="24"/>
              </w:rPr>
              <w:t>National Apprenticeship Act</w:t>
            </w:r>
          </w:p>
        </w:tc>
        <w:tc>
          <w:tcPr>
            <w:tcW w:type="dxa" w:w="4306"/>
            <w:vAlign w:val="center"/>
            <w:shd w:fill="F2F5F6"/>
          </w:tcPr>
          <w:p>
            <w:pPr>
              <w:spacing w:after="20" w:line="254" w:lineRule="auto"/>
            </w:pPr>
            <w:r>
              <w:rPr>
                <w:b w:val="0"/>
                <w:color w:val="000000"/>
                <w:sz w:val="24"/>
              </w:rPr>
              <w:t>Standards and access in work-based learning</w:t>
            </w:r>
          </w:p>
        </w:tc>
      </w:tr>
      <w:tr>
        <w:trPr>
          <w:cantSplit/>
        </w:trPr>
        <w:tc>
          <w:tcPr>
            <w:tcW w:type="dxa" w:w="1771"/>
            <w:vAlign w:val="center"/>
            <w:shd w:fill="FFFFFF"/>
          </w:tcPr>
          <w:p>
            <w:pPr>
              <w:spacing w:after="20" w:line="254" w:lineRule="auto"/>
              <w:jc w:val="center"/>
            </w:pPr>
            <w:r>
              <w:rPr>
                <w:b w:val="0"/>
                <w:color w:val="000000"/>
                <w:sz w:val="24"/>
              </w:rPr>
              <w:t>1943 and 1944</w:t>
            </w:r>
          </w:p>
        </w:tc>
        <w:tc>
          <w:tcPr>
            <w:tcW w:type="dxa" w:w="3917"/>
            <w:vAlign w:val="center"/>
            <w:shd w:fill="FFFFFF"/>
          </w:tcPr>
          <w:p>
            <w:pPr>
              <w:spacing w:after="20" w:line="254" w:lineRule="auto"/>
            </w:pPr>
            <w:r>
              <w:rPr>
                <w:b w:val="0"/>
                <w:color w:val="000000"/>
                <w:sz w:val="24"/>
              </w:rPr>
              <w:t>Barnette decision and the GI Bill</w:t>
            </w:r>
          </w:p>
        </w:tc>
        <w:tc>
          <w:tcPr>
            <w:tcW w:type="dxa" w:w="4306"/>
            <w:vAlign w:val="center"/>
            <w:shd w:fill="FFFFFF"/>
          </w:tcPr>
          <w:p>
            <w:pPr>
              <w:spacing w:after="20" w:line="254" w:lineRule="auto"/>
            </w:pPr>
            <w:r>
              <w:rPr>
                <w:b w:val="0"/>
                <w:color w:val="000000"/>
                <w:sz w:val="24"/>
              </w:rPr>
              <w:t>Student conscience and educational opportunity</w:t>
            </w:r>
          </w:p>
        </w:tc>
      </w:tr>
      <w:tr>
        <w:trPr>
          <w:cantSplit/>
        </w:trPr>
        <w:tc>
          <w:tcPr>
            <w:tcW w:type="dxa" w:w="1771"/>
            <w:vAlign w:val="center"/>
            <w:shd w:fill="F2F5F6"/>
          </w:tcPr>
          <w:p>
            <w:pPr>
              <w:spacing w:after="20" w:line="254" w:lineRule="auto"/>
              <w:jc w:val="center"/>
            </w:pPr>
            <w:r>
              <w:rPr>
                <w:b w:val="0"/>
                <w:color w:val="000000"/>
                <w:sz w:val="24"/>
              </w:rPr>
              <w:t>1954 and 1958</w:t>
            </w:r>
          </w:p>
        </w:tc>
        <w:tc>
          <w:tcPr>
            <w:tcW w:type="dxa" w:w="3917"/>
            <w:vAlign w:val="center"/>
            <w:shd w:fill="F2F5F6"/>
          </w:tcPr>
          <w:p>
            <w:pPr>
              <w:spacing w:after="20" w:line="254" w:lineRule="auto"/>
            </w:pPr>
            <w:r>
              <w:rPr>
                <w:b w:val="0"/>
                <w:color w:val="000000"/>
                <w:sz w:val="24"/>
              </w:rPr>
              <w:t>Brown decision and National Defense Education Act</w:t>
            </w:r>
          </w:p>
        </w:tc>
        <w:tc>
          <w:tcPr>
            <w:tcW w:type="dxa" w:w="4306"/>
            <w:vAlign w:val="center"/>
            <w:shd w:fill="F2F5F6"/>
          </w:tcPr>
          <w:p>
            <w:pPr>
              <w:spacing w:after="20" w:line="254" w:lineRule="auto"/>
            </w:pPr>
            <w:r>
              <w:rPr>
                <w:b w:val="0"/>
                <w:color w:val="000000"/>
                <w:sz w:val="24"/>
              </w:rPr>
              <w:t>Access, implementation and subject funding</w:t>
            </w:r>
          </w:p>
        </w:tc>
      </w:tr>
      <w:tr>
        <w:trPr>
          <w:cantSplit/>
        </w:trPr>
        <w:tc>
          <w:tcPr>
            <w:tcW w:type="dxa" w:w="1771"/>
            <w:vAlign w:val="center"/>
            <w:shd w:fill="FFFFFF"/>
          </w:tcPr>
          <w:p>
            <w:pPr>
              <w:spacing w:after="20" w:line="254" w:lineRule="auto"/>
              <w:jc w:val="center"/>
            </w:pPr>
            <w:r>
              <w:rPr>
                <w:b w:val="0"/>
                <w:color w:val="000000"/>
                <w:sz w:val="24"/>
              </w:rPr>
              <w:t>1962 through 1969</w:t>
            </w:r>
          </w:p>
        </w:tc>
        <w:tc>
          <w:tcPr>
            <w:tcW w:type="dxa" w:w="3917"/>
            <w:vAlign w:val="center"/>
            <w:shd w:fill="FFFFFF"/>
          </w:tcPr>
          <w:p>
            <w:pPr>
              <w:spacing w:after="20" w:line="254" w:lineRule="auto"/>
            </w:pPr>
            <w:r>
              <w:rPr>
                <w:b w:val="0"/>
                <w:color w:val="000000"/>
                <w:sz w:val="24"/>
              </w:rPr>
              <w:t>School religion decisions, civil-rights legislation and Tinker</w:t>
            </w:r>
          </w:p>
        </w:tc>
        <w:tc>
          <w:tcPr>
            <w:tcW w:type="dxa" w:w="4306"/>
            <w:vAlign w:val="center"/>
            <w:shd w:fill="FFFFFF"/>
          </w:tcPr>
          <w:p>
            <w:pPr>
              <w:spacing w:after="20" w:line="254" w:lineRule="auto"/>
            </w:pPr>
            <w:r>
              <w:rPr>
                <w:b w:val="0"/>
                <w:color w:val="000000"/>
                <w:sz w:val="24"/>
              </w:rPr>
              <w:t>Institutional authority and student rights</w:t>
            </w:r>
          </w:p>
        </w:tc>
      </w:tr>
      <w:tr>
        <w:trPr>
          <w:cantSplit/>
        </w:trPr>
        <w:tc>
          <w:tcPr>
            <w:tcW w:type="dxa" w:w="1771"/>
            <w:vAlign w:val="center"/>
            <w:shd w:fill="F2F5F6"/>
          </w:tcPr>
          <w:p>
            <w:pPr>
              <w:spacing w:after="20" w:line="254" w:lineRule="auto"/>
              <w:jc w:val="center"/>
            </w:pPr>
            <w:r>
              <w:rPr>
                <w:b w:val="0"/>
                <w:color w:val="000000"/>
                <w:sz w:val="24"/>
              </w:rPr>
              <w:t>1972 and 1975</w:t>
            </w:r>
          </w:p>
        </w:tc>
        <w:tc>
          <w:tcPr>
            <w:tcW w:type="dxa" w:w="3917"/>
            <w:vAlign w:val="center"/>
            <w:shd w:fill="F2F5F6"/>
          </w:tcPr>
          <w:p>
            <w:pPr>
              <w:spacing w:after="20" w:line="254" w:lineRule="auto"/>
            </w:pPr>
            <w:r>
              <w:rPr>
                <w:b w:val="0"/>
                <w:color w:val="000000"/>
                <w:sz w:val="24"/>
              </w:rPr>
              <w:t>Title IX and the Education for All Handicapped Children Act</w:t>
            </w:r>
          </w:p>
        </w:tc>
        <w:tc>
          <w:tcPr>
            <w:tcW w:type="dxa" w:w="4306"/>
            <w:vAlign w:val="center"/>
            <w:shd w:fill="F2F5F6"/>
          </w:tcPr>
          <w:p>
            <w:pPr>
              <w:spacing w:after="20" w:line="254" w:lineRule="auto"/>
            </w:pPr>
            <w:r>
              <w:rPr>
                <w:b w:val="0"/>
                <w:color w:val="000000"/>
                <w:sz w:val="24"/>
              </w:rPr>
              <w:t>Access, resources and practical delivery</w:t>
            </w:r>
          </w:p>
        </w:tc>
      </w:tr>
      <w:tr>
        <w:trPr>
          <w:cantSplit/>
        </w:trPr>
        <w:tc>
          <w:tcPr>
            <w:tcW w:type="dxa" w:w="1771"/>
            <w:vAlign w:val="center"/>
            <w:shd w:fill="FFFFFF"/>
          </w:tcPr>
          <w:p>
            <w:pPr>
              <w:spacing w:after="20" w:line="254" w:lineRule="auto"/>
              <w:jc w:val="center"/>
            </w:pPr>
            <w:r>
              <w:rPr>
                <w:b w:val="0"/>
                <w:color w:val="000000"/>
                <w:sz w:val="24"/>
              </w:rPr>
              <w:t>1983</w:t>
            </w:r>
          </w:p>
        </w:tc>
        <w:tc>
          <w:tcPr>
            <w:tcW w:type="dxa" w:w="3917"/>
            <w:vAlign w:val="center"/>
            <w:shd w:fill="FFFFFF"/>
          </w:tcPr>
          <w:p>
            <w:pPr>
              <w:spacing w:after="20" w:line="254" w:lineRule="auto"/>
            </w:pPr>
            <w:r>
              <w:rPr>
                <w:b w:val="0"/>
                <w:color w:val="000000"/>
                <w:sz w:val="24"/>
              </w:rPr>
              <w:t>A Nation at Risk</w:t>
            </w:r>
          </w:p>
        </w:tc>
        <w:tc>
          <w:tcPr>
            <w:tcW w:type="dxa" w:w="4306"/>
            <w:vAlign w:val="center"/>
            <w:shd w:fill="FFFFFF"/>
          </w:tcPr>
          <w:p>
            <w:pPr>
              <w:spacing w:after="20" w:line="254" w:lineRule="auto"/>
            </w:pPr>
            <w:r>
              <w:rPr>
                <w:b w:val="0"/>
                <w:color w:val="000000"/>
                <w:sz w:val="24"/>
              </w:rPr>
              <w:t>Standards, graduation expectations and reform rhetoric</w:t>
            </w:r>
          </w:p>
        </w:tc>
      </w:tr>
      <w:tr>
        <w:trPr>
          <w:cantSplit/>
        </w:trPr>
        <w:tc>
          <w:tcPr>
            <w:tcW w:type="dxa" w:w="1771"/>
            <w:vAlign w:val="center"/>
            <w:shd w:fill="F2F5F6"/>
          </w:tcPr>
          <w:p>
            <w:pPr>
              <w:spacing w:after="20" w:line="254" w:lineRule="auto"/>
              <w:jc w:val="center"/>
            </w:pPr>
            <w:r>
              <w:rPr>
                <w:b w:val="0"/>
                <w:color w:val="000000"/>
                <w:sz w:val="24"/>
              </w:rPr>
              <w:t>1994</w:t>
            </w:r>
          </w:p>
        </w:tc>
        <w:tc>
          <w:tcPr>
            <w:tcW w:type="dxa" w:w="3917"/>
            <w:vAlign w:val="center"/>
            <w:shd w:fill="F2F5F6"/>
          </w:tcPr>
          <w:p>
            <w:pPr>
              <w:spacing w:after="20" w:line="254" w:lineRule="auto"/>
            </w:pPr>
            <w:r>
              <w:rPr>
                <w:b w:val="0"/>
                <w:color w:val="000000"/>
                <w:sz w:val="24"/>
              </w:rPr>
              <w:t>Home-economics field renaming and computerized nursing licensure testing</w:t>
            </w:r>
          </w:p>
        </w:tc>
        <w:tc>
          <w:tcPr>
            <w:tcW w:type="dxa" w:w="4306"/>
            <w:vAlign w:val="center"/>
            <w:shd w:fill="F2F5F6"/>
          </w:tcPr>
          <w:p>
            <w:pPr>
              <w:spacing w:after="20" w:line="254" w:lineRule="auto"/>
            </w:pPr>
            <w:r>
              <w:rPr>
                <w:b w:val="0"/>
                <w:color w:val="000000"/>
                <w:sz w:val="24"/>
              </w:rPr>
              <w:t>Professional identity and assessment methods</w:t>
            </w:r>
          </w:p>
        </w:tc>
      </w:tr>
      <w:tr>
        <w:trPr>
          <w:cantSplit/>
        </w:trPr>
        <w:tc>
          <w:tcPr>
            <w:tcW w:type="dxa" w:w="1771"/>
            <w:vAlign w:val="center"/>
            <w:shd w:fill="FFFFFF"/>
          </w:tcPr>
          <w:p>
            <w:pPr>
              <w:spacing w:after="20" w:line="254" w:lineRule="auto"/>
              <w:jc w:val="center"/>
            </w:pPr>
            <w:r>
              <w:rPr>
                <w:b w:val="0"/>
                <w:color w:val="000000"/>
                <w:sz w:val="24"/>
              </w:rPr>
              <w:t>2000 through 2015</w:t>
            </w:r>
          </w:p>
        </w:tc>
        <w:tc>
          <w:tcPr>
            <w:tcW w:type="dxa" w:w="3917"/>
            <w:vAlign w:val="center"/>
            <w:shd w:fill="FFFFFF"/>
          </w:tcPr>
          <w:p>
            <w:pPr>
              <w:spacing w:after="20" w:line="254" w:lineRule="auto"/>
            </w:pPr>
            <w:r>
              <w:rPr>
                <w:b w:val="0"/>
                <w:color w:val="000000"/>
                <w:sz w:val="24"/>
              </w:rPr>
              <w:t>Reading Panel, NCLB and ESSA</w:t>
            </w:r>
          </w:p>
        </w:tc>
        <w:tc>
          <w:tcPr>
            <w:tcW w:type="dxa" w:w="4306"/>
            <w:vAlign w:val="center"/>
            <w:shd w:fill="FFFFFF"/>
          </w:tcPr>
          <w:p>
            <w:pPr>
              <w:spacing w:after="20" w:line="254" w:lineRule="auto"/>
            </w:pPr>
            <w:r>
              <w:rPr>
                <w:b w:val="0"/>
                <w:color w:val="000000"/>
                <w:sz w:val="24"/>
              </w:rPr>
              <w:t>Instructional evidence and accountability</w:t>
            </w:r>
          </w:p>
        </w:tc>
      </w:tr>
      <w:tr>
        <w:trPr>
          <w:cantSplit/>
        </w:trPr>
        <w:tc>
          <w:tcPr>
            <w:tcW w:type="dxa" w:w="1771"/>
            <w:vAlign w:val="center"/>
            <w:shd w:fill="F2F5F6"/>
          </w:tcPr>
          <w:p>
            <w:pPr>
              <w:spacing w:after="20" w:line="254" w:lineRule="auto"/>
              <w:jc w:val="center"/>
            </w:pPr>
            <w:r>
              <w:rPr>
                <w:b w:val="0"/>
                <w:color w:val="000000"/>
                <w:sz w:val="24"/>
              </w:rPr>
              <w:t>2018</w:t>
            </w:r>
          </w:p>
        </w:tc>
        <w:tc>
          <w:tcPr>
            <w:tcW w:type="dxa" w:w="3917"/>
            <w:vAlign w:val="center"/>
            <w:shd w:fill="F2F5F6"/>
          </w:tcPr>
          <w:p>
            <w:pPr>
              <w:spacing w:after="20" w:line="254" w:lineRule="auto"/>
            </w:pPr>
            <w:r>
              <w:rPr>
                <w:b w:val="0"/>
                <w:color w:val="000000"/>
                <w:sz w:val="24"/>
              </w:rPr>
              <w:t>Perkins V</w:t>
            </w:r>
          </w:p>
        </w:tc>
        <w:tc>
          <w:tcPr>
            <w:tcW w:type="dxa" w:w="4306"/>
            <w:vAlign w:val="center"/>
            <w:shd w:fill="F2F5F6"/>
          </w:tcPr>
          <w:p>
            <w:pPr>
              <w:spacing w:after="20" w:line="254" w:lineRule="auto"/>
            </w:pPr>
            <w:r>
              <w:rPr>
                <w:b w:val="0"/>
                <w:color w:val="000000"/>
                <w:sz w:val="24"/>
              </w:rPr>
              <w:t>Career and technical education priorities</w:t>
            </w:r>
          </w:p>
        </w:tc>
      </w:tr>
      <w:tr>
        <w:trPr>
          <w:cantSplit/>
        </w:trPr>
        <w:tc>
          <w:tcPr>
            <w:tcW w:type="dxa" w:w="1771"/>
            <w:vAlign w:val="center"/>
            <w:shd w:fill="FFFFFF"/>
          </w:tcPr>
          <w:p>
            <w:pPr>
              <w:spacing w:after="20" w:line="254" w:lineRule="auto"/>
              <w:jc w:val="center"/>
            </w:pPr>
            <w:r>
              <w:rPr>
                <w:b w:val="0"/>
                <w:color w:val="000000"/>
                <w:sz w:val="24"/>
              </w:rPr>
              <w:t>2020 through 2024</w:t>
            </w:r>
          </w:p>
        </w:tc>
        <w:tc>
          <w:tcPr>
            <w:tcW w:type="dxa" w:w="3917"/>
            <w:vAlign w:val="center"/>
            <w:shd w:fill="FFFFFF"/>
          </w:tcPr>
          <w:p>
            <w:pPr>
              <w:spacing w:after="20" w:line="254" w:lineRule="auto"/>
            </w:pPr>
            <w:r>
              <w:rPr>
                <w:b w:val="0"/>
                <w:color w:val="000000"/>
                <w:sz w:val="24"/>
              </w:rPr>
              <w:t>Pandemic disruption and later assessments</w:t>
            </w:r>
          </w:p>
        </w:tc>
        <w:tc>
          <w:tcPr>
            <w:tcW w:type="dxa" w:w="4306"/>
            <w:vAlign w:val="center"/>
            <w:shd w:fill="FFFFFF"/>
          </w:tcPr>
          <w:p>
            <w:pPr>
              <w:spacing w:after="20" w:line="254" w:lineRule="auto"/>
            </w:pPr>
            <w:r>
              <w:rPr>
                <w:b w:val="0"/>
                <w:color w:val="000000"/>
                <w:sz w:val="24"/>
              </w:rPr>
              <w:t>Uneven access, learning and recovery</w:t>
            </w:r>
          </w:p>
        </w:tc>
      </w:tr>
      <w:tr>
        <w:trPr>
          <w:cantSplit/>
        </w:trPr>
        <w:tc>
          <w:tcPr>
            <w:tcW w:type="dxa" w:w="1771"/>
            <w:vAlign w:val="center"/>
            <w:shd w:fill="F2F5F6"/>
          </w:tcPr>
          <w:p>
            <w:pPr>
              <w:spacing w:after="20" w:line="254" w:lineRule="auto"/>
              <w:jc w:val="center"/>
            </w:pPr>
            <w:r>
              <w:rPr>
                <w:b w:val="0"/>
                <w:color w:val="000000"/>
                <w:sz w:val="24"/>
              </w:rPr>
              <w:t>2026</w:t>
            </w:r>
          </w:p>
        </w:tc>
        <w:tc>
          <w:tcPr>
            <w:tcW w:type="dxa" w:w="3917"/>
            <w:vAlign w:val="center"/>
            <w:shd w:fill="F2F5F6"/>
          </w:tcPr>
          <w:p>
            <w:pPr>
              <w:spacing w:after="20" w:line="254" w:lineRule="auto"/>
            </w:pPr>
            <w:r>
              <w:rPr>
                <w:b w:val="0"/>
                <w:color w:val="000000"/>
                <w:sz w:val="24"/>
              </w:rPr>
              <w:t>GAO JROTC oversight report</w:t>
            </w:r>
          </w:p>
        </w:tc>
        <w:tc>
          <w:tcPr>
            <w:tcW w:type="dxa" w:w="4306"/>
            <w:vAlign w:val="center"/>
            <w:shd w:fill="F2F5F6"/>
          </w:tcPr>
          <w:p>
            <w:pPr>
              <w:spacing w:after="20" w:line="254" w:lineRule="auto"/>
            </w:pPr>
            <w:r>
              <w:rPr>
                <w:b w:val="0"/>
                <w:color w:val="000000"/>
                <w:sz w:val="24"/>
              </w:rPr>
              <w:t>Adult accountability and remaining control gaps</w:t>
            </w:r>
          </w:p>
        </w:tc>
      </w:tr>
    </w:tbl>
    <w:p>
      <w:pPr>
        <w:spacing w:after="40"/>
      </w:pPr>
    </w:p>
    <w:p>
      <w:r>
        <w:t>Sources for the milestones are identified in the relevant chapters and the endnotes. The 1926 entry defines this book’s scope rather than asserting a national reform in that year.</w:t>
      </w:r>
    </w:p>
    <w:p>
      <w:pPr>
        <w:pStyle w:val="Heading2"/>
      </w:pPr>
      <w:r>
        <w:t>The changing definition of the basics</w:t>
      </w:r>
    </w:p>
    <w:p>
      <w:r>
        <w:t>A Nation at Risk in 1983 proposed a more demanding high-school core: four years of English; three each of mathematics, science and social studies; and a half-year of computer science. It also recommended two years of foreign language for college-bound students. The commission presented these requirements as a foundation for life after school.</w:t>
      </w:r>
      <w:hyperlink w:anchor="note_5">
        <w:r>
          <w:rPr>
            <w:color w:val="000000"/>
            <w:vertAlign w:val="superscript"/>
          </w:rPr>
          <w:t>5</w:t>
        </w:r>
      </w:hyperlink>
      <w:r/>
    </w:p>
    <w:p>
      <w:r>
        <w:t>That list is useful because it makes a reform argument concrete. Readers can inspect the recommended allocation rather than rely on the report’s urgent tone. It also shows how the meaning of a basic education could expand: computer science joined subjects with much older curricular histories.</w:t>
      </w:r>
    </w:p>
    <w:p>
      <w:r>
        <w:t>The recommendations were not themselves a national graduation law. They tell us what the commission wanted decision-makers to require. Their appearance between the earlier social-purpose reports and later accountability laws shows a recurring struggle over how to turn an educational ideal into obligations a school could be asked to meet.</w:t>
      </w:r>
    </w:p>
    <w:p>
      <w:pPr>
        <w:pStyle w:val="Heading2"/>
      </w:pPr>
      <w:r>
        <w:t>Crises can change the educational agenda</w:t>
      </w:r>
    </w:p>
    <w:p>
      <w:r>
        <w:t>The National Defense Education Act of 1958 followed the Soviet launch of Sputnik. The House’s historical account describes support for science, mathematics, modern foreign languages, fellowships and student loans. Here the public argument for reform included competition and national defense. That explanation must remain visible in any account of expanded federal involvement.</w:t>
      </w:r>
      <w:hyperlink w:anchor="note_6">
        <w:r>
          <w:rPr>
            <w:color w:val="000000"/>
            <w:vertAlign w:val="superscript"/>
          </w:rPr>
          <w:t>6</w:t>
        </w:r>
      </w:hyperlink>
      <w:r/>
    </w:p>
    <w:p>
      <w:r>
        <w:t>The important investigative move is to trace what a crisis made politically possible. Did it release funding? Change a graduation requirement? Expand a professional group’s authority? Accelerate a proposal that had previously struggled for support? A crisis explanation is strongest when records connect the event to a specific decision and show what changed afterward.</w:t>
      </w:r>
    </w:p>
    <w:p>
      <w:r>
        <w:t>An emergency can also alter the meaning of educational success. An institution may move from asking whether children have a broad foundation to asking whether it can produce specialists quickly enough. Neither purpose automatically cancels the other. The conflict appears when budgets, course schedules and examinations reward one while leaving the other largely rhetorical.</w:t>
      </w:r>
    </w:p>
    <w:p>
      <w:pPr>
        <w:pStyle w:val="Heading2"/>
      </w:pPr>
      <w:r>
        <w:t>Rights change who must be counted</w:t>
      </w:r>
    </w:p>
    <w:p>
      <w:r>
        <w:t>The Brown decision in 1954 rejected racial segregation in public education as constitutionally unequal. The Civil Rights Act of 1964 added federal statutory tools relevant to discrimination and educational access. These are changes in the legal framework, not proof that equal educational experience followed immediately everywhere.</w:t>
      </w:r>
      <w:hyperlink w:anchor="note_7">
        <w:r>
          <w:rPr>
            <w:color w:val="000000"/>
            <w:vertAlign w:val="superscript"/>
          </w:rPr>
          <w:t>7</w:t>
        </w:r>
      </w:hyperlink>
      <w:r>
        <w:t xml:space="preserve">, </w:t>
      </w:r>
      <w:hyperlink w:anchor="note_8">
        <w:r>
          <w:rPr>
            <w:color w:val="000000"/>
            <w:vertAlign w:val="superscript"/>
          </w:rPr>
          <w:t>8</w:t>
        </w:r>
      </w:hyperlink>
      <w:r/>
    </w:p>
    <w:p>
      <w:r>
        <w:t>A system that begins serving previously excluded students may change its average results even when no individual student learns less. Conversely, a rising average can conceal the continued exclusion of students who would need more support. The reader should therefore ask who appears in a dataset, who is missing and whether those boundaries changed.</w:t>
      </w:r>
    </w:p>
    <w:p>
      <w:pPr>
        <w:pStyle w:val="Heading2"/>
      </w:pPr>
      <w:r>
        <w:t>A timeline needs several clocks</w:t>
      </w:r>
    </w:p>
    <w:p>
      <w:r>
        <w:t>Every reform has at least three potentially different dates: the announcement, the implementation and the measurement of outcomes. A fourth date, when a family actually experiences the change, may be harder to recover. Conflating these dates creates false stories of immediate success or failure.</w:t>
      </w:r>
    </w:p>
    <w:p>
      <w:r>
        <w:t>This book uses turning points to orient the reader. It does not assign each decade a single personality. Adjacent chapters revisit the same years because a child could encounter expanded legal protection, a new textbook and an unchanged classroom practice at the same time. Historical change is often uneven at precisely the level where children experience it.</w:t>
      </w:r>
    </w:p>
    <w:p>
      <w:pPr>
        <w:pStyle w:val="Heading2"/>
      </w:pPr>
      <w:r>
        <w:t>What changed and why it matters</w:t>
      </w:r>
    </w:p>
    <w:p>
      <w:pPr>
        <w:keepLines/>
      </w:pPr>
      <w:r>
        <w:t>The turning points changed different things: aims, resources, access, standards and institutional authority. Their consequences reached children on different schedules.</w:t>
      </w:r>
    </w:p>
    <w:p>
      <w:bookmarkStart w:id="1005" w:name="section_5"/>
      <w:pPr>
        <w:pStyle w:val="Heading1"/>
        <w:pageBreakBefore/>
      </w:pPr>
      <w:r>
        <w:t>Chapter 3 Constitution civics and social studies</w:t>
      </w:r>
      <w:bookmarkEnd w:id="1005"/>
    </w:p>
    <w:p>
      <w:pPr>
        <w:pStyle w:val="Heading2"/>
      </w:pPr>
      <w:r>
        <w:t>The names were already overlapping</w:t>
      </w:r>
    </w:p>
    <w:p>
      <w:r>
        <w:t>The 1916 report The Social Studies in Secondary Education placed civics, geography and history within a proposed social-studies program. Its contents included community civics and a later course on problems of American democracy. This is direct evidence that civics and social studies coexisted in the vocabulary of reform before the century examined here began.</w:t>
      </w:r>
      <w:hyperlink w:anchor="note_9">
        <w:r>
          <w:rPr>
            <w:color w:val="000000"/>
            <w:vertAlign w:val="superscript"/>
          </w:rPr>
          <w:t>9</w:t>
        </w:r>
      </w:hyperlink>
      <w:r/>
    </w:p>
    <w:p>
      <w:r>
        <w:t>That finding changes the opening question. We cannot assume a nationwide relay in which Constitution class disappeared into civics and civics disappeared into social studies. We can investigate whether particular schools reduced constitutional content, reorganized it, renamed a course or changed the type of citizenship they sought to cultivate.</w:t>
      </w:r>
    </w:p>
    <w:p>
      <w:r>
        <w:t>The distinction matters because several changes can produce the same course title. A school could put more constitutional history inside a course called social studies. Another could devote most of that course to different material. The label identifies where to look; the syllabus and student work reveal what was taught.</w:t>
      </w:r>
    </w:p>
    <w:p>
      <w:pPr>
        <w:pStyle w:val="Heading2"/>
      </w:pPr>
      <w:r>
        <w:t>Three labels and three different questions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Language in the record</w:t>
            </w:r>
          </w:p>
        </w:tc>
        <w:tc>
          <w:tcPr>
            <w:tcW w:type="dxa" w:w="3816"/>
            <w:vAlign w:val="center"/>
            <w:shd w:fill="243746"/>
          </w:tcPr>
          <w:p>
            <w:pPr>
              <w:spacing w:after="20" w:line="254" w:lineRule="auto"/>
            </w:pPr>
            <w:r>
              <w:rPr>
                <w:b/>
                <w:color w:val="FFFFFF"/>
                <w:sz w:val="24"/>
              </w:rPr>
              <w:t>What the label identifies</w:t>
            </w:r>
          </w:p>
        </w:tc>
        <w:tc>
          <w:tcPr>
            <w:tcW w:type="dxa" w:w="3874"/>
            <w:vAlign w:val="center"/>
            <w:shd w:fill="243746"/>
          </w:tcPr>
          <w:p>
            <w:pPr>
              <w:spacing w:after="20" w:line="254" w:lineRule="auto"/>
            </w:pPr>
            <w:r>
              <w:rPr>
                <w:b/>
                <w:color w:val="FFFFFF"/>
                <w:sz w:val="24"/>
              </w:rPr>
              <w:t>What the record must show next</w:t>
            </w:r>
          </w:p>
        </w:tc>
      </w:tr>
      <w:tr>
        <w:trPr>
          <w:cantSplit/>
        </w:trPr>
        <w:tc>
          <w:tcPr>
            <w:tcW w:type="dxa" w:w="2304"/>
            <w:vAlign w:val="center"/>
            <w:shd w:fill="FFFFFF"/>
          </w:tcPr>
          <w:p>
            <w:pPr>
              <w:spacing w:after="20" w:line="254" w:lineRule="auto"/>
            </w:pPr>
            <w:r>
              <w:rPr>
                <w:b w:val="0"/>
                <w:color w:val="000000"/>
                <w:sz w:val="24"/>
              </w:rPr>
              <w:t>Constitution or government instruction</w:t>
            </w:r>
          </w:p>
        </w:tc>
        <w:tc>
          <w:tcPr>
            <w:tcW w:type="dxa" w:w="3816"/>
            <w:vAlign w:val="center"/>
            <w:shd w:fill="FFFFFF"/>
          </w:tcPr>
          <w:p>
            <w:pPr>
              <w:spacing w:after="20" w:line="254" w:lineRule="auto"/>
            </w:pPr>
            <w:r>
              <w:rPr>
                <w:b w:val="0"/>
                <w:color w:val="000000"/>
                <w:sz w:val="24"/>
              </w:rPr>
              <w:t>A topic or a locally named course</w:t>
            </w:r>
          </w:p>
        </w:tc>
        <w:tc>
          <w:tcPr>
            <w:tcW w:type="dxa" w:w="3874"/>
            <w:vAlign w:val="center"/>
            <w:shd w:fill="FFFFFF"/>
          </w:tcPr>
          <w:p>
            <w:pPr>
              <w:spacing w:after="20" w:line="254" w:lineRule="auto"/>
            </w:pPr>
            <w:r>
              <w:rPr>
                <w:b w:val="0"/>
                <w:color w:val="000000"/>
                <w:sz w:val="24"/>
              </w:rPr>
              <w:t>Branches, powers, limits, rights and the tasks students complete</w:t>
            </w:r>
          </w:p>
        </w:tc>
      </w:tr>
      <w:tr>
        <w:trPr>
          <w:cantSplit/>
        </w:trPr>
        <w:tc>
          <w:tcPr>
            <w:tcW w:type="dxa" w:w="2304"/>
            <w:vAlign w:val="center"/>
            <w:shd w:fill="F2F5F6"/>
          </w:tcPr>
          <w:p>
            <w:pPr>
              <w:spacing w:after="20" w:line="254" w:lineRule="auto"/>
            </w:pPr>
            <w:r>
              <w:rPr>
                <w:b w:val="0"/>
                <w:color w:val="000000"/>
                <w:sz w:val="24"/>
              </w:rPr>
              <w:t>Community civics in the 1916 report</w:t>
            </w:r>
          </w:p>
        </w:tc>
        <w:tc>
          <w:tcPr>
            <w:tcW w:type="dxa" w:w="3816"/>
            <w:vAlign w:val="center"/>
            <w:shd w:fill="F2F5F6"/>
          </w:tcPr>
          <w:p>
            <w:pPr>
              <w:spacing w:after="20" w:line="254" w:lineRule="auto"/>
            </w:pPr>
            <w:r>
              <w:rPr>
                <w:b w:val="0"/>
                <w:color w:val="000000"/>
                <w:sz w:val="24"/>
              </w:rPr>
              <w:t>A proposed approach within a wider program</w:t>
            </w:r>
          </w:p>
        </w:tc>
        <w:tc>
          <w:tcPr>
            <w:tcW w:type="dxa" w:w="3874"/>
            <w:vAlign w:val="center"/>
            <w:shd w:fill="F2F5F6"/>
          </w:tcPr>
          <w:p>
            <w:pPr>
              <w:spacing w:after="20" w:line="254" w:lineRule="auto"/>
            </w:pPr>
            <w:r>
              <w:rPr>
                <w:b w:val="0"/>
                <w:color w:val="000000"/>
                <w:sz w:val="24"/>
              </w:rPr>
              <w:t>How community concerns connect to institutional knowledge</w:t>
            </w:r>
          </w:p>
        </w:tc>
      </w:tr>
      <w:tr>
        <w:trPr>
          <w:cantSplit/>
        </w:trPr>
        <w:tc>
          <w:tcPr>
            <w:tcW w:type="dxa" w:w="2304"/>
            <w:vAlign w:val="center"/>
            <w:shd w:fill="FFFFFF"/>
          </w:tcPr>
          <w:p>
            <w:pPr>
              <w:spacing w:after="20" w:line="254" w:lineRule="auto"/>
            </w:pPr>
            <w:r>
              <w:rPr>
                <w:b w:val="0"/>
                <w:color w:val="000000"/>
                <w:sz w:val="24"/>
              </w:rPr>
              <w:t>Social studies in the same report</w:t>
            </w:r>
          </w:p>
        </w:tc>
        <w:tc>
          <w:tcPr>
            <w:tcW w:type="dxa" w:w="3816"/>
            <w:vAlign w:val="center"/>
            <w:shd w:fill="FFFFFF"/>
          </w:tcPr>
          <w:p>
            <w:pPr>
              <w:spacing w:after="20" w:line="254" w:lineRule="auto"/>
            </w:pPr>
            <w:r>
              <w:rPr>
                <w:b w:val="0"/>
                <w:color w:val="000000"/>
                <w:sz w:val="24"/>
              </w:rPr>
              <w:t>An organizing category containing several subjects</w:t>
            </w:r>
          </w:p>
        </w:tc>
        <w:tc>
          <w:tcPr>
            <w:tcW w:type="dxa" w:w="3874"/>
            <w:vAlign w:val="center"/>
            <w:shd w:fill="FFFFFF"/>
          </w:tcPr>
          <w:p>
            <w:pPr>
              <w:spacing w:after="20" w:line="254" w:lineRule="auto"/>
            </w:pPr>
            <w:r>
              <w:rPr>
                <w:b w:val="0"/>
                <w:color w:val="000000"/>
                <w:sz w:val="24"/>
              </w:rPr>
              <w:t>Which component receives time, required status and assessment</w:t>
            </w:r>
          </w:p>
        </w:tc>
      </w:tr>
    </w:tbl>
    <w:p>
      <w:pPr>
        <w:spacing w:after="40"/>
      </w:pPr>
    </w:p>
    <w:p>
      <w:r>
        <w:t>The 1916 report is evidence for the coexistence described in this table. The first row defines a comparison category rather than claiming that a course with one exact title existed nationwide.</w:t>
      </w:r>
    </w:p>
    <w:p>
      <w:r>
        <w:t>The consequential question is what a student could explain at the end of the course. Could the student identify who possessed a power, what limited it and how someone could contest its exercise? That question reaches the concern behind a renamed class without letting the name supply the answer.</w:t>
      </w:r>
    </w:p>
    <w:p>
      <w:pPr>
        <w:pStyle w:val="Heading2"/>
      </w:pPr>
      <w:r>
        <w:t>What should count as constitutional instruction</w:t>
      </w:r>
    </w:p>
    <w:p>
      <w:r>
        <w:t>A narrow measure might count mentions of the Constitution. That would be easy to reproduce and easy to misinterpret. A list of amendments may occupy less space than a classroom exercise requiring students to apply constitutional reasoning to a disputed policy. Yet a discussion of civic participation may also omit the institutional structure that makes constitutional limits intelligible.</w:t>
      </w:r>
    </w:p>
    <w:p>
      <w:r>
        <w:t>A better comparison distinguishes content and task. Content includes the branches of government, federalism, rights, amendments and the relationship between government power and individual liberty. Tasks include recall, explanation, interpretation and application. We can then ask whether students encountered both the architecture of government and the habits needed to question its exercise.</w:t>
      </w:r>
    </w:p>
    <w:p>
      <w:r>
        <w:t>The modern NAEP civics framework expressly includes the constitutional foundations of American government. It organizes assessment around knowledge, skills and civic dispositions. Its existence contradicts a claim that constitutional content has simply vanished from formal national assessment. It does not establish how much instruction any particular student receives.</w:t>
      </w:r>
      <w:hyperlink w:anchor="note_10">
        <w:r>
          <w:rPr>
            <w:color w:val="000000"/>
            <w:vertAlign w:val="superscript"/>
          </w:rPr>
          <w:t>10</w:t>
        </w:r>
      </w:hyperlink>
      <w:r/>
    </w:p>
    <w:p>
      <w:pPr>
        <w:pStyle w:val="Heading2"/>
      </w:pPr>
      <w:r>
        <w:t>Where influence could be demonstrated</w:t>
      </w:r>
    </w:p>
    <w:p>
      <w:r>
        <w:t>Suppose two editions of a district curriculum allocate different amounts of time to constitutional structure. The comparison establishes a documented change in the written curriculum. Meeting minutes might explain who proposed it. A purchasing record might show which materials followed. Teacher plans and examinations would bring us closer to classroom practice.</w:t>
      </w:r>
    </w:p>
    <w:p>
      <w:r>
        <w:t>Only then can we responsibly examine an influence claim. If an advocate explicitly proposed replacing institutional knowledge with a particular political program, and the district adopted that proposal, the documentary chain would be substantial. If the only connection is that both documents use the word “community,” the connection remains weak. Shared vocabulary is common across incompatible political traditions.</w:t>
      </w:r>
    </w:p>
    <w:p>
      <w:r>
        <w:t>A reduction in time would also need context. Was the content moved to another grade? Was a separate government course introduced? Did graduation requirements change? Was the old course elective and the new one compulsory? These questions can reverse the apparent meaning of a surface comparison.</w:t>
      </w:r>
    </w:p>
    <w:p>
      <w:pPr>
        <w:pStyle w:val="Heading2"/>
      </w:pPr>
      <w:r>
        <w:t>The lesson inside the lesson</w:t>
      </w:r>
    </w:p>
    <w:p>
      <w:r>
        <w:t>Citizenship education contains a continuing tension between belonging and independent judgment. A school can invite commitment to constitutional principles while teaching children to examine whether institutions honor them. It can also confuse respect with the absence of questions. The difference should be visible in what students are allowed and required to do with evidence.</w:t>
      </w:r>
    </w:p>
    <w:p>
      <w:pPr>
        <w:pStyle w:val="Heading2"/>
      </w:pPr>
      <w:r>
        <w:t>What changed and why it matters</w:t>
      </w:r>
    </w:p>
    <w:p>
      <w:pPr>
        <w:keepLines/>
      </w:pPr>
      <w:r>
        <w:t>The source record contradicts a simple national sequence from Constitution class to civics to social studies. The substantive question is whether students gained or lost constitutional knowledge in a defined course sequence.</w:t>
      </w:r>
    </w:p>
    <w:p>
      <w:bookmarkStart w:id="1006" w:name="section_6"/>
      <w:pPr>
        <w:pStyle w:val="Heading1"/>
        <w:pageBreakBefore/>
      </w:pPr>
      <w:r>
        <w:t>Chapter 4 Ideology and the power to shape a curriculum</w:t>
      </w:r>
      <w:bookmarkEnd w:id="1006"/>
    </w:p>
    <w:p>
      <w:pPr>
        <w:pStyle w:val="Heading2"/>
      </w:pPr>
      <w:r>
        <w:t>Reading advocates in their own words</w:t>
      </w:r>
    </w:p>
    <w:p>
      <w:r>
        <w:t>Educational philosophy is a primary source for what an author wanted schooling to accomplish. John Dewey’s Democracy and Education, published in 1916, connected education with social experience, communication and democratic life. His account of democracy extended beyond a governmental procedure to the relations through which people learn to live together.</w:t>
      </w:r>
      <w:hyperlink w:anchor="note_11">
        <w:r>
          <w:rPr>
            <w:color w:val="000000"/>
            <w:vertAlign w:val="superscript"/>
          </w:rPr>
          <w:t>11</w:t>
        </w:r>
      </w:hyperlink>
      <w:r/>
    </w:p>
    <w:p>
      <w:r>
        <w:t>That formulation deserves examination because it assigns schooling a social purpose. It does not, by itself, establish that every practice later described as progressive came from Dewey, or that “social” means socialist. A claim about political economy requires attention to ownership, power and institutional organization, not a search for a shared adjective.</w:t>
      </w:r>
    </w:p>
    <w:p>
      <w:r>
        <w:t>George S. Counts offers a more explicit example of advocacy for social reconstruction. In Dare the School Build a New Social Order, published in 1932, he urged teachers to exercise power over the curriculum and social direction. His discussion challenged individualistic economic arrangements and contemplated a more collectively organized order. This is evidence of an openly stated program, not an allegation inferred from a modern label.</w:t>
      </w:r>
      <w:hyperlink w:anchor="note_12">
        <w:r>
          <w:rPr>
            <w:color w:val="000000"/>
            <w:vertAlign w:val="superscript"/>
          </w:rPr>
          <w:t>12</w:t>
        </w:r>
      </w:hyperlink>
      <w:r/>
    </w:p>
    <w:p>
      <w:r>
        <w:t>Reading such material carefully strengthens scrutiny. It prevents two opposite mistakes: denying that educators have advocated ideological transformation, and treating one advocate’s program as a complete explanation for a century of schooling.</w:t>
      </w:r>
    </w:p>
    <w:p>
      <w:pPr>
        <w:pStyle w:val="Heading2"/>
      </w:pPr>
      <w:r>
        <w:t>Defining the claim before pursuing it</w:t>
      </w:r>
    </w:p>
    <w:p>
      <w:r>
        <w:t>“Influence” can mean that someone read a book, adopted its vocabulary, accepted one teaching method or implemented its political purpose. Those are different claims. The first may require a syllabus or correspondence. The last requires evidence that the relevant intention traveled into a decision and shaped practice.</w:t>
      </w:r>
    </w:p>
    <w:p>
      <w:r>
        <w:t>“Infiltration” is a stronger claim still. It ordinarily implies concealed entry or concealed purpose. Public speeches, published books and open campaigns establish advocacy. To establish covert conduct, we need additional evidence of concealment or deception. The distinction does not excuse an objectionable program. It describes what the record can prove.</w:t>
      </w:r>
    </w:p>
    <w:p>
      <w:r>
        <w:t>The terms also require historical discipline. Socialism concerns social or collective ownership or control of economic resources, though traditions differ. Communism, social democracy, educational progressivism and social reconstructionism have different histories and commitments. A school’s use of cooperative learning does not identify its position on ownership. A market-oriented reform can centralize authority through purchasing and measurement even while its advocates speak the language of choice.</w:t>
      </w:r>
    </w:p>
    <w:p>
      <w:pPr>
        <w:pStyle w:val="Heading2"/>
      </w:pPr>
      <w:r>
        <w:t>The route from ideas to institutional power</w:t>
      </w:r>
    </w:p>
    <w:p>
      <w:r>
        <w:t>The most useful evidence is often ordinary. A teacher-training syllabus shows what aspiring teachers were assigned. A foundation’s grant terms identify supported activities. A publisher’s revision memo can explain an editorial decision. An adoption committee’s scoring sheet shows what counted as quality. A district contract identifies who gained access to classrooms and data.</w:t>
      </w:r>
    </w:p>
    <w:p>
      <w:r>
        <w:t>The question is whether those records join into a chain. An advocate writes a proposal; an organization funds a program; a training institution prepares teachers to use it; a district purchases it; classroom materials incorporate it. Each link should be established rather than supplied by narrative momentum.</w:t>
      </w:r>
    </w:p>
    <w:p>
      <w:r>
        <w:t>We should examine opposing influences with the same standard. National-security priorities, religious commitments, civil-rights advocacy, business interests and political conservatism can all seek a place in education. Naming several influences is not a demand to assign them equal weight. It is a commitment to measure their reach before ranking them.</w:t>
      </w:r>
    </w:p>
    <w:p>
      <w:pPr>
        <w:pStyle w:val="Heading2"/>
      </w:pPr>
      <w:r>
        <w:t>The influence chain in this book</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Stage</w:t>
            </w:r>
          </w:p>
        </w:tc>
        <w:tc>
          <w:tcPr>
            <w:tcW w:type="dxa" w:w="3816"/>
            <w:vAlign w:val="center"/>
            <w:shd w:fill="243746"/>
          </w:tcPr>
          <w:p>
            <w:pPr>
              <w:spacing w:after="20" w:line="254" w:lineRule="auto"/>
            </w:pPr>
            <w:r>
              <w:rPr>
                <w:b/>
                <w:color w:val="FFFFFF"/>
                <w:sz w:val="24"/>
              </w:rPr>
              <w:t>A concrete example</w:t>
            </w:r>
          </w:p>
        </w:tc>
        <w:tc>
          <w:tcPr>
            <w:tcW w:type="dxa" w:w="3874"/>
            <w:vAlign w:val="center"/>
            <w:shd w:fill="243746"/>
          </w:tcPr>
          <w:p>
            <w:pPr>
              <w:spacing w:after="20" w:line="254" w:lineRule="auto"/>
            </w:pPr>
            <w:r>
              <w:rPr>
                <w:b/>
                <w:color w:val="FFFFFF"/>
                <w:sz w:val="24"/>
              </w:rPr>
              <w:t>Finding supported</w:t>
            </w:r>
          </w:p>
        </w:tc>
      </w:tr>
      <w:tr>
        <w:trPr>
          <w:cantSplit/>
        </w:trPr>
        <w:tc>
          <w:tcPr>
            <w:tcW w:type="dxa" w:w="2304"/>
            <w:vAlign w:val="center"/>
            <w:shd w:fill="FFFFFF"/>
          </w:tcPr>
          <w:p>
            <w:pPr>
              <w:spacing w:after="20" w:line="254" w:lineRule="auto"/>
            </w:pPr>
            <w:r>
              <w:rPr>
                <w:b w:val="0"/>
                <w:color w:val="000000"/>
                <w:sz w:val="24"/>
              </w:rPr>
              <w:t>Published educational philosophy</w:t>
            </w:r>
          </w:p>
        </w:tc>
        <w:tc>
          <w:tcPr>
            <w:tcW w:type="dxa" w:w="3816"/>
            <w:vAlign w:val="center"/>
            <w:shd w:fill="FFFFFF"/>
          </w:tcPr>
          <w:p>
            <w:pPr>
              <w:spacing w:after="20" w:line="254" w:lineRule="auto"/>
            </w:pPr>
            <w:r>
              <w:rPr>
                <w:b w:val="0"/>
                <w:color w:val="000000"/>
                <w:sz w:val="24"/>
              </w:rPr>
              <w:t>Dewey in 1916</w:t>
            </w:r>
          </w:p>
        </w:tc>
        <w:tc>
          <w:tcPr>
            <w:tcW w:type="dxa" w:w="3874"/>
            <w:vAlign w:val="center"/>
            <w:shd w:fill="FFFFFF"/>
          </w:tcPr>
          <w:p>
            <w:pPr>
              <w:spacing w:after="20" w:line="254" w:lineRule="auto"/>
            </w:pPr>
            <w:r>
              <w:rPr>
                <w:b w:val="0"/>
                <w:color w:val="000000"/>
                <w:sz w:val="24"/>
              </w:rPr>
              <w:t>An articulated conception of education and democracy</w:t>
            </w:r>
          </w:p>
        </w:tc>
      </w:tr>
      <w:tr>
        <w:trPr>
          <w:cantSplit/>
        </w:trPr>
        <w:tc>
          <w:tcPr>
            <w:tcW w:type="dxa" w:w="2304"/>
            <w:vAlign w:val="center"/>
            <w:shd w:fill="F2F5F6"/>
          </w:tcPr>
          <w:p>
            <w:pPr>
              <w:spacing w:after="20" w:line="254" w:lineRule="auto"/>
            </w:pPr>
            <w:r>
              <w:rPr>
                <w:b w:val="0"/>
                <w:color w:val="000000"/>
                <w:sz w:val="24"/>
              </w:rPr>
              <w:t>Explicit reconstructionist advocacy</w:t>
            </w:r>
          </w:p>
        </w:tc>
        <w:tc>
          <w:tcPr>
            <w:tcW w:type="dxa" w:w="3816"/>
            <w:vAlign w:val="center"/>
            <w:shd w:fill="F2F5F6"/>
          </w:tcPr>
          <w:p>
            <w:pPr>
              <w:spacing w:after="20" w:line="254" w:lineRule="auto"/>
            </w:pPr>
            <w:r>
              <w:rPr>
                <w:b w:val="0"/>
                <w:color w:val="000000"/>
                <w:sz w:val="24"/>
              </w:rPr>
              <w:t>Counts in 1932</w:t>
            </w:r>
          </w:p>
        </w:tc>
        <w:tc>
          <w:tcPr>
            <w:tcW w:type="dxa" w:w="3874"/>
            <w:vAlign w:val="center"/>
            <w:shd w:fill="F2F5F6"/>
          </w:tcPr>
          <w:p>
            <w:pPr>
              <w:spacing w:after="20" w:line="254" w:lineRule="auto"/>
            </w:pPr>
            <w:r>
              <w:rPr>
                <w:b w:val="0"/>
                <w:color w:val="000000"/>
                <w:sz w:val="24"/>
              </w:rPr>
              <w:t>An argument for teachers to help shape a different social order</w:t>
            </w:r>
          </w:p>
        </w:tc>
      </w:tr>
      <w:tr>
        <w:trPr>
          <w:cantSplit/>
        </w:trPr>
        <w:tc>
          <w:tcPr>
            <w:tcW w:type="dxa" w:w="2304"/>
            <w:vAlign w:val="center"/>
            <w:shd w:fill="FFFFFF"/>
          </w:tcPr>
          <w:p>
            <w:pPr>
              <w:spacing w:after="20" w:line="254" w:lineRule="auto"/>
            </w:pPr>
            <w:r>
              <w:rPr>
                <w:b w:val="0"/>
                <w:color w:val="000000"/>
                <w:sz w:val="24"/>
              </w:rPr>
              <w:t>Government investment</w:t>
            </w:r>
          </w:p>
        </w:tc>
        <w:tc>
          <w:tcPr>
            <w:tcW w:type="dxa" w:w="3816"/>
            <w:vAlign w:val="center"/>
            <w:shd w:fill="FFFFFF"/>
          </w:tcPr>
          <w:p>
            <w:pPr>
              <w:spacing w:after="20" w:line="254" w:lineRule="auto"/>
            </w:pPr>
            <w:r>
              <w:rPr>
                <w:b w:val="0"/>
                <w:color w:val="000000"/>
                <w:sz w:val="24"/>
              </w:rPr>
              <w:t>National Defense Education Act in 1958</w:t>
            </w:r>
          </w:p>
        </w:tc>
        <w:tc>
          <w:tcPr>
            <w:tcW w:type="dxa" w:w="3874"/>
            <w:vAlign w:val="center"/>
            <w:shd w:fill="FFFFFF"/>
          </w:tcPr>
          <w:p>
            <w:pPr>
              <w:spacing w:after="20" w:line="254" w:lineRule="auto"/>
            </w:pPr>
            <w:r>
              <w:rPr>
                <w:b w:val="0"/>
                <w:color w:val="000000"/>
                <w:sz w:val="24"/>
              </w:rPr>
              <w:t>Public resources directed toward identified educational priorities</w:t>
            </w:r>
          </w:p>
        </w:tc>
      </w:tr>
      <w:tr>
        <w:trPr>
          <w:cantSplit/>
        </w:trPr>
        <w:tc>
          <w:tcPr>
            <w:tcW w:type="dxa" w:w="2304"/>
            <w:vAlign w:val="center"/>
            <w:shd w:fill="F2F5F6"/>
          </w:tcPr>
          <w:p>
            <w:pPr>
              <w:spacing w:after="20" w:line="254" w:lineRule="auto"/>
            </w:pPr>
            <w:r>
              <w:rPr>
                <w:b w:val="0"/>
                <w:color w:val="000000"/>
                <w:sz w:val="24"/>
              </w:rPr>
              <w:t>Professional renaming</w:t>
            </w:r>
          </w:p>
        </w:tc>
        <w:tc>
          <w:tcPr>
            <w:tcW w:type="dxa" w:w="3816"/>
            <w:vAlign w:val="center"/>
            <w:shd w:fill="F2F5F6"/>
          </w:tcPr>
          <w:p>
            <w:pPr>
              <w:spacing w:after="20" w:line="254" w:lineRule="auto"/>
            </w:pPr>
            <w:r>
              <w:rPr>
                <w:b w:val="0"/>
                <w:color w:val="000000"/>
                <w:sz w:val="24"/>
              </w:rPr>
              <w:t>Family and consumer sciences in 1994</w:t>
            </w:r>
          </w:p>
        </w:tc>
        <w:tc>
          <w:tcPr>
            <w:tcW w:type="dxa" w:w="3874"/>
            <w:vAlign w:val="center"/>
            <w:shd w:fill="F2F5F6"/>
          </w:tcPr>
          <w:p>
            <w:pPr>
              <w:spacing w:after="20" w:line="254" w:lineRule="auto"/>
            </w:pPr>
            <w:r>
              <w:rPr>
                <w:b w:val="0"/>
                <w:color w:val="000000"/>
                <w:sz w:val="24"/>
              </w:rPr>
              <w:t>A documented change in a field’s name and stated scope</w:t>
            </w:r>
          </w:p>
        </w:tc>
      </w:tr>
      <w:tr>
        <w:trPr>
          <w:cantSplit/>
        </w:trPr>
        <w:tc>
          <w:tcPr>
            <w:tcW w:type="dxa" w:w="2304"/>
            <w:vAlign w:val="center"/>
            <w:shd w:fill="FFFFFF"/>
          </w:tcPr>
          <w:p>
            <w:pPr>
              <w:spacing w:after="20" w:line="254" w:lineRule="auto"/>
            </w:pPr>
            <w:r>
              <w:rPr>
                <w:b w:val="0"/>
                <w:color w:val="000000"/>
                <w:sz w:val="24"/>
              </w:rPr>
              <w:t>Classroom consequences</w:t>
            </w:r>
          </w:p>
        </w:tc>
        <w:tc>
          <w:tcPr>
            <w:tcW w:type="dxa" w:w="3816"/>
            <w:vAlign w:val="center"/>
            <w:shd w:fill="FFFFFF"/>
          </w:tcPr>
          <w:p>
            <w:pPr>
              <w:spacing w:after="20" w:line="254" w:lineRule="auto"/>
            </w:pPr>
            <w:r>
              <w:rPr>
                <w:b w:val="0"/>
                <w:color w:val="000000"/>
                <w:sz w:val="24"/>
              </w:rPr>
              <w:t>Student work and observed practice</w:t>
            </w:r>
          </w:p>
        </w:tc>
        <w:tc>
          <w:tcPr>
            <w:tcW w:type="dxa" w:w="3874"/>
            <w:vAlign w:val="center"/>
            <w:shd w:fill="FFFFFF"/>
          </w:tcPr>
          <w:p>
            <w:pPr>
              <w:spacing w:after="20" w:line="254" w:lineRule="auto"/>
            </w:pPr>
            <w:r>
              <w:rPr>
                <w:b w:val="0"/>
                <w:color w:val="000000"/>
                <w:sz w:val="24"/>
              </w:rPr>
              <w:t>Requires evidence beyond the four preceding records</w:t>
            </w:r>
          </w:p>
        </w:tc>
      </w:tr>
    </w:tbl>
    <w:p>
      <w:pPr>
        <w:spacing w:after="40"/>
      </w:pPr>
    </w:p>
    <w:p>
      <w:r>
        <w:t>The table compares different mechanisms, not successive steps in one coordinated campaign. The first four appear in sources examined elsewhere in this volume. Their differences explain why an ideological history must also be an institutional history.</w:t>
      </w:r>
    </w:p>
    <w:p>
      <w:r>
        <w:t>An argument can be politically explicit without being covert. A purchase can change daily teaching without containing an ideological declaration. An investigation becomes more consequential when it identifies the actual decision-maker and the choice that person controlled. That is where criticism can name an action instead of attributing a motive to an entire profession.</w:t>
      </w:r>
    </w:p>
    <w:p>
      <w:pPr>
        <w:pStyle w:val="Heading2"/>
      </w:pPr>
      <w:r>
        <w:t>Four forms of influence that should not share one label</w:t>
      </w:r>
    </w:p>
    <w:p>
      <w:r>
        <w:t>An educational change can arise through persuasion, authority, dependence or concealment. Persuasion operates when an argument attracts teachers or administrators. Authority operates when a body can require a course, examination or rule. Dependence operates when an institution needs funding, materials or technical support that comes with conditions. Concealment is a separate allegation: it requires evidence that relevant aims or actions were deliberately hidden.</w:t>
      </w:r>
    </w:p>
    <w:p>
      <w:r>
        <w:t>These distinctions make criticism sharper. A public advocate can seek a far-reaching transformation without acting secretly. A publicly approved policy can still be coercive in its effects. A commercial product can shape instruction even when its seller makes no political argument. The mechanism determines which documents matter.</w:t>
      </w:r>
    </w:p>
    <w:p>
      <w:r>
        <w:t>For persuasion, look for correspondence, citations and training syllabi. For authority, find the decision, its scope and the officials empowered to enforce it. For dependence, examine eligibility rules, procurement terms and alternatives available to the institution. For concealment, identify what was withheld, by whom and what record demonstrates the withholding. Similar vocabulary cannot substitute for any of those connections.</w:t>
      </w:r>
    </w:p>
    <w:p>
      <w:r>
        <w:t>This is how the book approaches the claim of socialist influence. Counts’s published program belongs in the evidence. So do the actual steps by which any part of that program reached a particular institution. A reader may find the stated ambition objectionable before its influence has been measured. The historical account must still distinguish the ambition from the extent of its success.</w:t>
      </w:r>
    </w:p>
    <w:p>
      <w:pPr>
        <w:pStyle w:val="Heading2"/>
      </w:pPr>
      <w:r>
        <w:t>Intent and effect need separate findings</w:t>
      </w:r>
    </w:p>
    <w:p>
      <w:r>
        <w:t>A reformer may intend to build independence and produce compliance. Another may seek social uniformity but encounter teachers who reinterpret the materials. Historical actors do not control every consequence of their ideas. A book that follows intentions alone risks mistaking a campaign’s ambitions for its achievements.</w:t>
      </w:r>
    </w:p>
    <w:p>
      <w:r>
        <w:t>This chapter therefore supports a specific conclusion: explicit efforts to use schooling for social transformation are documented and deserve investigation. It does not establish a single covert command structure or one ideological cause for every change in American schools. Stronger causal claims require the adoption and outcome evidence described here.</w:t>
      </w:r>
    </w:p>
    <w:p>
      <w:r>
        <w:t>The measure of the inquiry is whether a skeptical reader can move from the source to the conclusion without being asked to fill the gaps with suspicion. That standard protects an investigation from both institutional reassurance and its own enthusiasm.</w:t>
      </w:r>
    </w:p>
    <w:p>
      <w:pPr>
        <w:pStyle w:val="Heading2"/>
      </w:pPr>
      <w:r>
        <w:t>What changed and why it matters</w:t>
      </w:r>
    </w:p>
    <w:p>
      <w:pPr>
        <w:keepLines/>
      </w:pPr>
      <w:r>
        <w:t>Explicit advocacy for social reconstruction is documented. Its actual reach depends on evidence of adoption and practice. Holding power accountable requires identifying the actors and decisions that carried an idea into a child’s education.</w:t>
      </w:r>
    </w:p>
    <w:p>
      <w:bookmarkStart w:id="1007" w:name="section_7"/>
      <w:pPr>
        <w:pStyle w:val="Heading1"/>
        <w:pageBreakBefore/>
      </w:pPr>
      <w:r>
        <w:t>Chapter 5 Reading writing and the books children encounter</w:t>
      </w:r>
      <w:bookmarkEnd w:id="1007"/>
    </w:p>
    <w:p>
      <w:pPr>
        <w:pStyle w:val="Heading2"/>
      </w:pPr>
      <w:r>
        <w:t>Learning to read and deciding what to read</w:t>
      </w:r>
    </w:p>
    <w:p>
      <w:r>
        <w:t>Two disputes often occupy the same conversation. One concerns the mechanics of learning to read. The other concerns the content children should encounter. They interact, but they require different evidence. A child may be assigned excellent literature without receiving effective decoding instruction. A child may decode fluently while receiving a narrow or misleading account of the world.</w:t>
      </w:r>
    </w:p>
    <w:p>
      <w:r>
        <w:t>The National Reading Panel’s 2000 synthesis found advantages for systematic phonics over instruction providing little or no phonics. It also emphasized that phonics belongs within a broader reading program, including other components needed for fluent understanding. The report did not establish that a single commercial program works equally well for every child.</w:t>
      </w:r>
      <w:hyperlink w:anchor="note_13">
        <w:r>
          <w:rPr>
            <w:color w:val="000000"/>
            <w:vertAlign w:val="superscript"/>
          </w:rPr>
          <w:t>13</w:t>
        </w:r>
      </w:hyperlink>
      <w:r/>
    </w:p>
    <w:p>
      <w:r>
        <w:t>The practical distinction is between a method’s label and its actual sequence. A publisher can describe a product as balanced, explicit, scientific or comprehensive. Those words do not reveal how students learn unfamiliar words, how teachers respond to errors, or how knowledge and vocabulary accumulate. A historical comparison should inspect the lesson itself.</w:t>
      </w:r>
    </w:p>
    <w:p>
      <w:pPr>
        <w:pStyle w:val="Heading2"/>
      </w:pPr>
      <w:r>
        <w:t>Inside an older reader</w:t>
      </w:r>
    </w:p>
    <w:p>
      <w:r>
        <w:t>The revised Second Eclectic Reader associated with McGuffey contains a preface dated June 1879. It directs teachers to drill pronunciation marks and introduce new words before a lesson. It also explains how illustrations can support language exercises. In the lesson The Torn Doll, a child’s careless handling of possessions becomes a lesson about responsibility. The book combines technical instruction with a moral account of ordinary conduct.</w:t>
      </w:r>
      <w:hyperlink w:anchor="note_14">
        <w:r>
          <w:rPr>
            <w:color w:val="000000"/>
            <w:vertAlign w:val="superscript"/>
          </w:rPr>
          <w:t>14</w:t>
        </w:r>
      </w:hyperlink>
      <w:r/>
    </w:p>
    <w:p>
      <w:r>
        <w:t>This is a concrete object for comparison: a sequence for preparing words, a passage to read and a judgment embedded in the story. It gives us more to examine than the general claim that older books taught character. It also shows that an old reader could use illustrations and contextual discussion alongside drill.</w:t>
      </w:r>
    </w:p>
    <w:p>
      <w:r>
        <w:t>The comparison with the Reading Panel’s later synthesis is therefore about methods and evidence, not a clean division between an entirely mechanical past and an entirely interpretive present. These documents belong to different genres: one directs instruction; the other evaluates research. Neither supplies a century-long record of what every classroom actually did.</w:t>
      </w:r>
    </w:p>
    <w:p>
      <w:pPr>
        <w:pStyle w:val="Heading2"/>
      </w:pPr>
      <w:r>
        <w:t>A later standards document</w:t>
      </w:r>
    </w:p>
    <w:p>
      <w:r>
        <w:t>The 2010 Common Core English language arts standards organize expectations across reading, writing, speaking, listening and language. They distinguish learning goals from a complete curriculum and emphasize literacy across subjects. Their discussion of informational reading applies across the school day; it is not a direction to make every English class predominantly nonfiction. The document also names foundational U.S. texts and Shakespeare among relevant content.</w:t>
      </w:r>
      <w:hyperlink w:anchor="note_15">
        <w:r>
          <w:rPr>
            <w:color w:val="000000"/>
            <w:vertAlign w:val="superscript"/>
          </w:rPr>
          <w:t>15</w:t>
        </w:r>
      </w:hyperlink>
      <w:r/>
    </w:p>
    <w:p>
      <w:r>
        <w:t>A comparison with a nineteenth-century reader must preserve that difference in purpose. A reader places selected material directly before a child. A standards document describes expectations that other actors translate into materials and assignments. The path from a standard to a child’s reading list runs through curriculum development, adoption and teaching.</w:t>
      </w:r>
    </w:p>
    <w:p>
      <w:r>
        <w:t>For this book, that distinction makes authority easier to locate. We can examine a standard’s demands, a publisher’s interpretation and a teacher’s assignment separately. A weak product cannot defend every choice by pointing to a framework that did not require it.</w:t>
      </w:r>
    </w:p>
    <w:p>
      <w:pPr>
        <w:pStyle w:val="Heading2"/>
      </w:pPr>
      <w:r>
        <w:t>The evidence in the exercise</w:t>
      </w:r>
    </w:p>
    <w:p>
      <w:r>
        <w:t>An old workbook may ask a child to identify parts of speech. A later assignment may ask the child to revise a paragraph for an audience. Neither task alone describes writing competence. The relevant questions are whether students gain control of sentences, can organize an explanation and can support a claim with appropriate evidence.</w:t>
      </w:r>
    </w:p>
    <w:p>
      <w:r>
        <w:t>For this book’s comparative method, writing should be examined at three levels: the instruction, the student’s work and the standard used to evaluate it. A demanding prompt proves that a task was assigned. It does not prove that most students completed it well. An elegant specimen selected for display does not represent an entire class.</w:t>
      </w:r>
    </w:p>
    <w:p>
      <w:r>
        <w:t>Handwriting deserves the same care. A change from cursive to keyboarding can reflect a redistribution of instructional time, a different medium of communication or the disappearance of a skill. Which description fits depends on the actual course and the student’s abilities. We should avoid treating neatness as a substitute for thought or treating new technology as a reason to disregard legibility.</w:t>
      </w:r>
    </w:p>
    <w:p>
      <w:pPr>
        <w:pStyle w:val="Heading2"/>
      </w:pPr>
      <w:r>
        <w:t>Four kinds of influential book</w:t>
      </w:r>
    </w:p>
    <w:p>
      <w:r>
        <w:t>An educational theorist’s book can influence a training institution without reaching children directly. A teacher’s manual can shape classroom routines. A textbook can determine the examples available for instruction. A novel read at home can affect a child’s imagination without any school adopting it. These are four different channels.</w:t>
      </w:r>
    </w:p>
    <w:p>
      <w:r>
        <w:t>To identify “the biggest books,” we need to define biggest. Sales, adoptions, library circulation, mentions in teacher-training courses and documented family reading each measure something different. A bestseller list does not establish educational importance. An influential curriculum text may have modest retail sales because institutions distribute it through other routes.</w:t>
      </w:r>
    </w:p>
    <w:p>
      <w:r>
        <w:t>A sound comparison would select editions with known use, record their contents and identify the audience. It would note whether a work appeared in full or in excerpts. It would also distinguish a book’s removal from a required course, removal from a library and a parent’s decision about home reading. Those actions have different meanings and authorities.</w:t>
      </w:r>
    </w:p>
    <w:p>
      <w:pPr>
        <w:pStyle w:val="Heading2"/>
      </w:pPr>
      <w:r>
        <w:t>What can be lost inside a reading list</w:t>
      </w:r>
    </w:p>
    <w:p>
      <w:r>
        <w:t>The quantity of assigned pages matters, but so does the kind of attention an assignment asks for. Students can encounter many titles through fragments and learn little about sustained argument. They can also spend months on one revered work without being invited to test an interpretation against the text.</w:t>
      </w:r>
    </w:p>
    <w:p>
      <w:r>
        <w:t>The book’s evaluative standard is therefore practical: does instruction help students read unfamiliar material accurately, sustain attention, understand context and explain why an interpretation is justified? That standard permits criticism of a weak older lesson and a weak newer one on the same grounds.</w:t>
      </w:r>
    </w:p>
    <w:p>
      <w:r>
        <w:t>The present source base does not support a national ranked list of the books most often read at home in every decade. Such a list would need a separate corpus of circulation, sales and family-reading evidence. This edition instead identifies the distinction and supplies a collection method in the companion. It will not give an invented ranking the appearance of historical precision.</w:t>
      </w:r>
    </w:p>
    <w:p>
      <w:pPr>
        <w:pStyle w:val="Heading2"/>
      </w:pPr>
      <w:r>
        <w:t>What changed and why it matters</w:t>
      </w:r>
    </w:p>
    <w:p>
      <w:pPr>
        <w:keepLines/>
      </w:pPr>
      <w:r>
        <w:t>Readers, research syntheses and standards exercise different kinds of authority. The child needs both the ability to read unfamiliar material and the knowledge to evaluate what it says.</w:t>
      </w:r>
    </w:p>
    <w:p>
      <w:bookmarkStart w:id="1008" w:name="section_8"/>
      <w:pPr>
        <w:pStyle w:val="Heading1"/>
        <w:pageBreakBefore/>
      </w:pPr>
      <w:r>
        <w:t>Chapter 6 How the account of history changes</w:t>
      </w:r>
      <w:bookmarkEnd w:id="1008"/>
    </w:p>
    <w:p>
      <w:pPr>
        <w:pStyle w:val="Heading2"/>
      </w:pPr>
      <w:r>
        <w:t>Events and explanations are different objects</w:t>
      </w:r>
    </w:p>
    <w:p>
      <w:r>
        <w:t>The past does not change because a textbook changes. Our available evidence, interpretation and selection of the past can change. A new source can correct an earlier account. An editor can also remove an inconvenient fact. The visible result may look similar on a page, but the reasons and evidentiary standing differ.</w:t>
      </w:r>
    </w:p>
    <w:p>
      <w:r>
        <w:t>In a comparison of history textbooks, the first task is to identify exactly what changed. Was a factual statement corrected? Was an event given more space? Was a participant added? Was causal responsibility reassigned? Did the text replace an argument with an unsupported assertion? These questions are more useful than assuming that every revision is either improvement or manipulation.</w:t>
      </w:r>
    </w:p>
    <w:p>
      <w:pPr>
        <w:pStyle w:val="Heading2"/>
      </w:pPr>
      <w:r>
        <w:t>Who appears in the national story</w:t>
      </w:r>
    </w:p>
    <w:p>
      <w:r>
        <w:t>The Brown opinion provides an example of why changes in historical emphasis can be justified by the significance of the underlying event. A course explaining constitutional equality has reason to examine the conflict over segregated schools. Including that conflict is not, by itself, evidence of hostility to the Constitution. It can be a way to examine constitutional claims against institutional practice.</w:t>
      </w:r>
      <w:hyperlink w:anchor="note_16">
        <w:r>
          <w:rPr>
            <w:color w:val="000000"/>
            <w:vertAlign w:val="superscript"/>
          </w:rPr>
          <w:t>16</w:t>
        </w:r>
      </w:hyperlink>
      <w:r/>
    </w:p>
    <w:p>
      <w:r>
        <w:t>Conversely, adding an account of injustice does not relieve a textbook of the obligation to explain institutions, chronology or evidence. A narrative can become misleading through omission of achievements as well as omission of harms. The question is whether the explanation helps students understand the event and its context, including facts that complicate its preferred interpretation.</w:t>
      </w:r>
    </w:p>
    <w:p>
      <w:r>
        <w:t>This is where a comparison of editions can become revealing. Counted mentions help locate a change, but a close reading determines its meaning. A person may receive fewer mentions because the book is shorter, because material moved to another grade, or because an editor deliberately changed the narrative. The comparison must identify which explanation the records support.</w:t>
      </w:r>
    </w:p>
    <w:p>
      <w:pPr>
        <w:pStyle w:val="Heading2"/>
      </w:pPr>
      <w:r>
        <w:t>Political narrative and historical method</w:t>
      </w:r>
    </w:p>
    <w:p>
      <w:r>
        <w:t>Historical education can ask students to admire, condemn or investigate. Those purposes sometimes coexist. The risk arises when the expected moral response determines which evidence students may consider. A lesson may contain accurate facts while arranging them so that no serious alternative explanation can be examined.</w:t>
      </w:r>
    </w:p>
    <w:p>
      <w:r>
        <w:t>A useful classroom task would ask students to compare two contemporary accounts of the same event, identify the authors’ positions and explain where independent records support either account. The student’s conclusion should depend on the evidence, even if that conclusion disappoints the teacher’s preferences.</w:t>
      </w:r>
    </w:p>
    <w:p>
      <w:r>
        <w:t>This approach does not require pretending every interpretation is equally plausible. Some claims fail because they contradict a reliable record. Others remain disputed because evidence is incomplete or historians disagree about the weight of causes. Teaching the difference is part of historical literacy.</w:t>
      </w:r>
    </w:p>
    <w:p>
      <w:pPr>
        <w:pStyle w:val="Heading2"/>
      </w:pPr>
      <w:r>
        <w:t>A document can outlive the interpretation attached to it</w:t>
      </w:r>
    </w:p>
    <w:p>
      <w:r>
        <w:t>Consider the Northwest Ordinance discussed in Chapter 1. Its reference to religion, morality, knowledge and education can be read in an account of public schooling, territorial government or the relationship between religion and civic order. The words in the source remain the same while the question put to them changes.</w:t>
      </w:r>
    </w:p>
    <w:p>
      <w:r>
        <w:t>The change becomes misleading when the explanation silently converts one kind of document into another. A territorial ordinance is not a transcript of every classroom. A court’s constitutional holding is not a survey of public opinion. A reform report is not a record of completed adoption. Historical distortion can occur through those shifts even when a quotation is perfectly accurate.</w:t>
      </w:r>
    </w:p>
    <w:p>
      <w:r>
        <w:t>The reader should therefore be able to see both the document and its institutional job. Who produced it? Whom did it address? What could it authorize, recommend or record? That context helps distinguish a legitimate new interpretation from a use of the past that asks a source to prove something it never measured.</w:t>
      </w:r>
    </w:p>
    <w:p>
      <w:pPr>
        <w:pStyle w:val="Heading2"/>
      </w:pPr>
      <w:r>
        <w:t>Comparing accounts without preselecting a verdict</w:t>
      </w:r>
    </w:p>
    <w:p>
      <w:r>
        <w:t>A defensible comparison preserves the same event, grade band and type of material wherever possible. It identifies the factual statements, the people given explanatory authority and the tasks assigned to students. If a narrative changed, the explanation should say whether the available record attributes the revision to new evidence, policy, commercial judgment or something still unknown.</w:t>
      </w:r>
    </w:p>
    <w:p>
      <w:r>
        <w:t>The changed passage is a finding. Its cause is another finding. Keeping those findings distinct allows an author to document a consequential omission without pretending to know an editor’s private intentions.</w:t>
      </w:r>
    </w:p>
    <w:p>
      <w:pPr>
        <w:pStyle w:val="Heading2"/>
      </w:pPr>
      <w:r>
        <w:t>Two examinations under the same name</w:t>
      </w:r>
    </w:p>
    <w:p>
      <w:r>
        <w:t>A useful comparison survives in New York’s official examination archive. The January 27, 1998 United States History and Government examination begins with 48 multiple-choice questions. Students then choose one question from Part II and two from Part III. The first questions address founding documents, federalism, delegated powers and constitutional amendments. One essay option asks students to explain how federal actions expanded or limited democratic principles; another concerns struggles for civil rights. The examination also includes a political cartoon. These features show that constitutional knowledge, interpretation and contested rights already shared space on the older test.</w:t>
      </w:r>
      <w:hyperlink w:anchor="note_17">
        <w:r>
          <w:rPr>
            <w:color w:val="000000"/>
            <w:vertAlign w:val="superscript"/>
          </w:rPr>
          <w:t>17</w:t>
        </w:r>
      </w:hyperlink>
      <w:r/>
    </w:p>
    <w:p>
      <w:r>
        <w:t>The January 22, 2025 examination retains the subject title but reorganizes the work. Its 28 multiple-choice questions are followed by two short essays and a document-based civic-literacy essay. Questions 5 and 6 use McCulloch v. Maryland to examine constitutional power. A short essay explicitly asks how a document’s audience, purpose, bias or viewpoint affects its reliability as evidence. The final essay examines the debate over the Treaty of Versailles.</w:t>
      </w:r>
      <w:hyperlink w:anchor="note_18">
        <w:r>
          <w:rPr>
            <w:color w:val="000000"/>
            <w:vertAlign w:val="superscript"/>
          </w:rPr>
          <w:t>18</w:t>
        </w:r>
      </w:hyperlink>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Feature</w:t>
            </w:r>
          </w:p>
        </w:tc>
        <w:tc>
          <w:tcPr>
            <w:tcW w:type="dxa" w:w="3816"/>
            <w:vAlign w:val="center"/>
            <w:shd w:fill="243746"/>
          </w:tcPr>
          <w:p>
            <w:pPr>
              <w:spacing w:after="20" w:line="254" w:lineRule="auto"/>
            </w:pPr>
            <w:r>
              <w:rPr>
                <w:b/>
                <w:color w:val="FFFFFF"/>
                <w:sz w:val="24"/>
              </w:rPr>
              <w:t>January 1998</w:t>
            </w:r>
          </w:p>
        </w:tc>
        <w:tc>
          <w:tcPr>
            <w:tcW w:type="dxa" w:w="3874"/>
            <w:vAlign w:val="center"/>
            <w:shd w:fill="243746"/>
          </w:tcPr>
          <w:p>
            <w:pPr>
              <w:spacing w:after="20" w:line="254" w:lineRule="auto"/>
            </w:pPr>
            <w:r>
              <w:rPr>
                <w:b/>
                <w:color w:val="FFFFFF"/>
                <w:sz w:val="24"/>
              </w:rPr>
              <w:t>January 2025</w:t>
            </w:r>
          </w:p>
        </w:tc>
      </w:tr>
      <w:tr>
        <w:trPr>
          <w:cantSplit/>
        </w:trPr>
        <w:tc>
          <w:tcPr>
            <w:tcW w:type="dxa" w:w="2304"/>
            <w:vAlign w:val="center"/>
            <w:shd w:fill="FFFFFF"/>
          </w:tcPr>
          <w:p>
            <w:pPr>
              <w:spacing w:after="20" w:line="254" w:lineRule="auto"/>
            </w:pPr>
            <w:r>
              <w:rPr>
                <w:b w:val="0"/>
                <w:color w:val="000000"/>
                <w:sz w:val="24"/>
              </w:rPr>
              <w:t>Selected-response section</w:t>
            </w:r>
          </w:p>
        </w:tc>
        <w:tc>
          <w:tcPr>
            <w:tcW w:type="dxa" w:w="3816"/>
            <w:vAlign w:val="center"/>
            <w:shd w:fill="FFFFFF"/>
          </w:tcPr>
          <w:p>
            <w:pPr>
              <w:spacing w:after="20" w:line="254" w:lineRule="auto"/>
            </w:pPr>
            <w:r>
              <w:rPr>
                <w:b w:val="0"/>
                <w:color w:val="000000"/>
                <w:sz w:val="24"/>
              </w:rPr>
              <w:t>48 questions</w:t>
            </w:r>
          </w:p>
        </w:tc>
        <w:tc>
          <w:tcPr>
            <w:tcW w:type="dxa" w:w="3874"/>
            <w:vAlign w:val="center"/>
            <w:shd w:fill="FFFFFF"/>
          </w:tcPr>
          <w:p>
            <w:pPr>
              <w:spacing w:after="20" w:line="254" w:lineRule="auto"/>
            </w:pPr>
            <w:r>
              <w:rPr>
                <w:b w:val="0"/>
                <w:color w:val="000000"/>
                <w:sz w:val="24"/>
              </w:rPr>
              <w:t>28 questions</w:t>
            </w:r>
          </w:p>
        </w:tc>
      </w:tr>
      <w:tr>
        <w:trPr>
          <w:cantSplit/>
        </w:trPr>
        <w:tc>
          <w:tcPr>
            <w:tcW w:type="dxa" w:w="2304"/>
            <w:vAlign w:val="center"/>
            <w:shd w:fill="F2F5F6"/>
          </w:tcPr>
          <w:p>
            <w:pPr>
              <w:spacing w:after="20" w:line="254" w:lineRule="auto"/>
            </w:pPr>
            <w:r>
              <w:rPr>
                <w:b w:val="0"/>
                <w:color w:val="000000"/>
                <w:sz w:val="24"/>
              </w:rPr>
              <w:t>Extended writing</w:t>
            </w:r>
          </w:p>
        </w:tc>
        <w:tc>
          <w:tcPr>
            <w:tcW w:type="dxa" w:w="3816"/>
            <w:vAlign w:val="center"/>
            <w:shd w:fill="F2F5F6"/>
          </w:tcPr>
          <w:p>
            <w:pPr>
              <w:spacing w:after="20" w:line="254" w:lineRule="auto"/>
            </w:pPr>
            <w:r>
              <w:rPr>
                <w:b w:val="0"/>
                <w:color w:val="000000"/>
                <w:sz w:val="24"/>
              </w:rPr>
              <w:t>Choose one Part II question and two Part III questions</w:t>
            </w:r>
          </w:p>
        </w:tc>
        <w:tc>
          <w:tcPr>
            <w:tcW w:type="dxa" w:w="3874"/>
            <w:vAlign w:val="center"/>
            <w:shd w:fill="F2F5F6"/>
          </w:tcPr>
          <w:p>
            <w:pPr>
              <w:spacing w:after="20" w:line="254" w:lineRule="auto"/>
            </w:pPr>
            <w:r>
              <w:rPr>
                <w:b w:val="0"/>
                <w:color w:val="000000"/>
                <w:sz w:val="24"/>
              </w:rPr>
              <w:t>Two short essays and one civic-literacy essay</w:t>
            </w:r>
          </w:p>
        </w:tc>
      </w:tr>
      <w:tr>
        <w:trPr>
          <w:cantSplit/>
        </w:trPr>
        <w:tc>
          <w:tcPr>
            <w:tcW w:type="dxa" w:w="2304"/>
            <w:vAlign w:val="center"/>
            <w:shd w:fill="FFFFFF"/>
          </w:tcPr>
          <w:p>
            <w:pPr>
              <w:spacing w:after="20" w:line="254" w:lineRule="auto"/>
            </w:pPr>
            <w:r>
              <w:rPr>
                <w:b w:val="0"/>
                <w:color w:val="000000"/>
                <w:sz w:val="24"/>
              </w:rPr>
              <w:t>Constitutional content</w:t>
            </w:r>
          </w:p>
        </w:tc>
        <w:tc>
          <w:tcPr>
            <w:tcW w:type="dxa" w:w="3816"/>
            <w:vAlign w:val="center"/>
            <w:shd w:fill="FFFFFF"/>
          </w:tcPr>
          <w:p>
            <w:pPr>
              <w:spacing w:after="20" w:line="254" w:lineRule="auto"/>
            </w:pPr>
            <w:r>
              <w:rPr>
                <w:b w:val="0"/>
                <w:color w:val="000000"/>
                <w:sz w:val="24"/>
              </w:rPr>
              <w:t>Federalism, delegated powers and amendments</w:t>
            </w:r>
          </w:p>
        </w:tc>
        <w:tc>
          <w:tcPr>
            <w:tcW w:type="dxa" w:w="3874"/>
            <w:vAlign w:val="center"/>
            <w:shd w:fill="FFFFFF"/>
          </w:tcPr>
          <w:p>
            <w:pPr>
              <w:spacing w:after="20" w:line="254" w:lineRule="auto"/>
            </w:pPr>
            <w:r>
              <w:rPr>
                <w:b w:val="0"/>
                <w:color w:val="000000"/>
                <w:sz w:val="24"/>
              </w:rPr>
              <w:t>Federal supremacy and other constitutional questions</w:t>
            </w:r>
          </w:p>
        </w:tc>
      </w:tr>
      <w:tr>
        <w:trPr>
          <w:cantSplit/>
        </w:trPr>
        <w:tc>
          <w:tcPr>
            <w:tcW w:type="dxa" w:w="2304"/>
            <w:vAlign w:val="center"/>
            <w:shd w:fill="F2F5F6"/>
          </w:tcPr>
          <w:p>
            <w:pPr>
              <w:spacing w:after="20" w:line="254" w:lineRule="auto"/>
            </w:pPr>
            <w:r>
              <w:rPr>
                <w:b w:val="0"/>
                <w:color w:val="000000"/>
                <w:sz w:val="24"/>
              </w:rPr>
              <w:t>Interpretation</w:t>
            </w:r>
          </w:p>
        </w:tc>
        <w:tc>
          <w:tcPr>
            <w:tcW w:type="dxa" w:w="3816"/>
            <w:vAlign w:val="center"/>
            <w:shd w:fill="F2F5F6"/>
          </w:tcPr>
          <w:p>
            <w:pPr>
              <w:spacing w:after="20" w:line="254" w:lineRule="auto"/>
            </w:pPr>
            <w:r>
              <w:rPr>
                <w:b w:val="0"/>
                <w:color w:val="000000"/>
                <w:sz w:val="24"/>
              </w:rPr>
              <w:t>Includes a cartoon and analytical essay options</w:t>
            </w:r>
          </w:p>
        </w:tc>
        <w:tc>
          <w:tcPr>
            <w:tcW w:type="dxa" w:w="3874"/>
            <w:vAlign w:val="center"/>
            <w:shd w:fill="F2F5F6"/>
          </w:tcPr>
          <w:p>
            <w:pPr>
              <w:spacing w:after="20" w:line="254" w:lineRule="auto"/>
            </w:pPr>
            <w:r>
              <w:rPr>
                <w:b w:val="0"/>
                <w:color w:val="000000"/>
                <w:sz w:val="24"/>
              </w:rPr>
              <w:t>Includes explicit document reliability analysis</w:t>
            </w:r>
          </w:p>
        </w:tc>
      </w:tr>
    </w:tbl>
    <w:p>
      <w:pPr>
        <w:spacing w:after="40"/>
      </w:pPr>
    </w:p>
    <w:p>
      <w:r>
        <w:t>The comparison establishes a change in assessment design within one state over 27 years. It also establishes continuity in constitutional content. Neither result depends on guessing what the exam writers privately believed. The documents are available for inspection.</w:t>
      </w:r>
    </w:p>
    <w:p>
      <w:r>
        <w:t>The older paper cannot fairly be reduced to memorization. Its essay options already ask for explanation and judgment. The newer paper cannot fairly be described as having removed the Constitution. It asks students to apply constitutional ideas. At the same time, the later arrangement gives supplied documents and their evaluation a more explicit role in the writing tasks. This is a narrower and more useful finding than declaring either generation better educated on the basis of a test booklet.</w:t>
      </w:r>
    </w:p>
    <w:p>
      <w:r>
        <w:t>An examination creates incentives: teachers and students have reason to prepare for the work it rewards. Whether these particular changes improved historical understanding would require evidence about preparation, scoring and student performance. Counting questions alone would not settle that issue, because question difficulty and scoring weight may differ.</w:t>
      </w:r>
    </w:p>
    <w:p>
      <w:r>
        <w:t>This case also identifies the next causal question. What curriculum framework, committee decision or assessment policy produced the redesign? A comparison of the finished papers establishes the result; the decision record would explain its institutional route. A claim about political influence must connect those two kinds of evidence.</w:t>
      </w:r>
    </w:p>
    <w:p>
      <w:pPr>
        <w:pStyle w:val="Heading2"/>
      </w:pPr>
      <w:r>
        <w:t>What a reader should retain</w:t>
      </w:r>
    </w:p>
    <w:p>
      <w:r>
        <w:t>A changed historical narrative is an invitation to investigate the revision. It is not proof of falsification. An unchanged narrative is not proof of accuracy. The same scrutiny belongs to both. That principle allows a reader to defend historical truth without granting permanent immunity to whichever textbook happened to be familiar in childhood.</w:t>
      </w:r>
    </w:p>
    <w:p>
      <w:pPr>
        <w:pStyle w:val="Heading2"/>
      </w:pPr>
      <w:r>
        <w:t>What changed and why it matters</w:t>
      </w:r>
    </w:p>
    <w:p>
      <w:pPr>
        <w:keepLines/>
      </w:pPr>
      <w:r>
        <w:t>Historical explanation can change through new evidence, changed emphasis or distortion. The decisive question is whether the revised account remains answerable to the underlying record.</w:t>
      </w:r>
    </w:p>
    <w:p>
      <w:bookmarkStart w:id="1009" w:name="section_9"/>
      <w:pPr>
        <w:pStyle w:val="Heading1"/>
        <w:pageBreakBefore/>
      </w:pPr>
      <w:r>
        <w:t>Chapter 7 Mathematics science and national priorities</w:t>
      </w:r>
      <w:bookmarkEnd w:id="1009"/>
    </w:p>
    <w:p>
      <w:pPr>
        <w:pStyle w:val="Heading2"/>
      </w:pPr>
      <w:r>
        <w:t>The subjects a nation decides it needs</w:t>
      </w:r>
    </w:p>
    <w:p>
      <w:r>
        <w:t>Mathematics and science can seem insulated from cultural conflict because a calculation or experiment can be checked. Yet institutions still decide which questions deserve time, which students receive advanced instruction and what kinds of competence examinations reward. A subject can have objective standards while its place in the curriculum reflects political choices.</w:t>
      </w:r>
    </w:p>
    <w:p>
      <w:r>
        <w:t>The National Science Foundation’s institutional history describes an expansion of support for teacher institutes and curriculum development around the Sputnik period. Physics, biology, chemistry and mathematics became objects of deliberate educational investment. This supplies a documented route of influence: public concern, institutional resources and the development of teaching materials.</w:t>
      </w:r>
      <w:hyperlink w:anchor="note_19">
        <w:r>
          <w:rPr>
            <w:color w:val="000000"/>
            <w:vertAlign w:val="superscript"/>
          </w:rPr>
          <w:t>19</w:t>
        </w:r>
      </w:hyperlink>
      <w:r/>
    </w:p>
    <w:p>
      <w:r>
        <w:t>We should neither reduce that history to a slogan about foreign competition nor remove foreign competition from it. The relevant point is that educational change can arise through an openly stated national priority. Funding determines what institutions can try, who can receive training and which materials become available at scale.</w:t>
      </w:r>
    </w:p>
    <w:p>
      <w:pPr>
        <w:pStyle w:val="Heading2"/>
      </w:pPr>
      <w:r>
        <w:t>Content and method need separate comparisons</w:t>
      </w:r>
    </w:p>
    <w:p>
      <w:r>
        <w:t>A mathematics course may retain its title while changing its balance of calculation, explanation and application. A science class may replace recitation with laboratory exercises, or replace a meaningful experiment with a scripted activity whose result students already know. The presence of equipment is a weak measure of scientific understanding.</w:t>
      </w:r>
    </w:p>
    <w:p>
      <w:r>
        <w:t>For mathematics, useful evidence includes the range of problems, the level of reasoning required and the conditions under which students work. A calculator permitted for one task may be prohibited for another. Comparing the two tasks as though they measured identical abilities would be misleading. The question is which skills a student must command independently and which tools the task is designed to use.</w:t>
      </w:r>
    </w:p>
    <w:p>
      <w:r>
        <w:t>For science, a parallel comparison asks whether students distinguish observation from interpretation, understand measurement error and can explain why a test supports one account better than another. Memorizing a conclusion and learning how a conclusion was reached are related but different accomplishments. Good instruction makes both visible.</w:t>
      </w:r>
    </w:p>
    <w:p>
      <w:pPr>
        <w:pStyle w:val="Heading2"/>
      </w:pPr>
      <w:r>
        <w:t>The word rigorous needs an object</w:t>
      </w:r>
    </w:p>
    <w:p>
      <w:r>
        <w:t>Rigor can mean more difficult vocabulary, more homework, more abstract reasoning or stricter grading. A curriculum advertisement can claim rigor without specifying which of those it provides. A historical account should identify the actual demand placed on the student.</w:t>
      </w:r>
    </w:p>
    <w:p>
      <w:r>
        <w:t>An old examination circulated online might contain unfamiliar agricultural or commercial calculations. That establishes the content of the examination if its provenance is verified. It does not establish how many children took it, how they performed, how much preparation they received or whether it measured the same abilities as a modern test. Difficulty for a modern adult is an interesting observation, not a national learning trend.</w:t>
      </w:r>
    </w:p>
    <w:p>
      <w:r>
        <w:t>The same restraint applies to modern assessments. A rising score can be meaningful without proving that every part of a curriculum improved. A decline deserves attention without identifying its cause. Students, tests, participation and instructional conditions all require examination.</w:t>
      </w:r>
    </w:p>
    <w:p>
      <w:pPr>
        <w:pStyle w:val="Heading2"/>
      </w:pPr>
      <w:r>
        <w:t>What the recent record does show</w:t>
      </w:r>
    </w:p>
    <w:p>
      <w:r>
        <w:t>On the 2024 NAEP assessment, the national fourth-grade mathematics average rose 2 points from 2022 but remained 3 points below 2019. The official account also reports that improvement was not evenly distributed across performance levels. This is a particular result on a defined assessment, not a verdict on a century of mathematics instruction.</w:t>
      </w:r>
      <w:hyperlink w:anchor="note_20">
        <w:r>
          <w:rPr>
            <w:color w:val="000000"/>
            <w:vertAlign w:val="superscript"/>
          </w:rPr>
          <w:t>20</w:t>
        </w:r>
      </w:hyperlink>
      <w:r/>
    </w:p>
    <w:p>
      <w:r>
        <w:t>The historical question becomes more informative when it is similarly bounded. Which students gained access to algebra? Which schools gained laboratories? Which teacher-training programs changed? Did new requirements supply adequate time and support? These questions trace the distribution of opportunity as well as the design of a subject.</w:t>
      </w:r>
    </w:p>
    <w:p>
      <w:pPr>
        <w:pStyle w:val="Heading2"/>
      </w:pPr>
      <w:r>
        <w:t>The lasting issue</w:t>
      </w:r>
    </w:p>
    <w:p>
      <w:r>
        <w:t>An institution should be able to explain why it changed a mathematics or science course and how it evaluated the result. An appeal to modernity is insufficient. So is an appeal to tradition. The defensible position identifies a skill, an instructional approach and evidence that students developed that skill under the relevant conditions.</w:t>
      </w:r>
    </w:p>
    <w:p>
      <w:pPr>
        <w:pStyle w:val="Heading2"/>
      </w:pPr>
      <w:r>
        <w:t>What changed and why it matters</w:t>
      </w:r>
    </w:p>
    <w:p>
      <w:pPr>
        <w:keepLines/>
      </w:pPr>
      <w:r>
        <w:t>National priorities helped direct investment toward science and mathematics. The educational result must still be judged through what students learned, who gained access and what the assessments measured.</w:t>
      </w:r>
    </w:p>
    <w:p>
      <w:bookmarkStart w:id="1010" w:name="section_10"/>
      <w:pPr>
        <w:pStyle w:val="Heading1"/>
        <w:pageBreakBefore/>
      </w:pPr>
      <w:r>
        <w:t>Chapter 8 Religion conscience and moral education</w:t>
      </w:r>
      <w:bookmarkEnd w:id="1010"/>
    </w:p>
    <w:p>
      <w:pPr>
        <w:pStyle w:val="Heading2"/>
      </w:pPr>
      <w:r>
        <w:t>Several questions often become one argument</w:t>
      </w:r>
    </w:p>
    <w:p>
      <w:r>
        <w:t>Religion in education can mean institutional devotional practice, a student’s personal observance, academic study of religion or the moral assumptions inside a curriculum. These are different activities. A history that treats them as one cannot explain what changed in law or in daily school life.</w:t>
      </w:r>
    </w:p>
    <w:p>
      <w:r>
        <w:t>Engel v. Vitale in 1962 addressed a state-composed prayer used in public schools. Abington School District v. Schempp in 1963 addressed school-sponsored Bible reading and related devotional exercises. The latter opinion also distinguished devotional exercises from objective study of religion as part of a secular educational program. These historical holdings do not mean that religion disappeared from children’s lives or from every legitimate academic subject.</w:t>
      </w:r>
      <w:hyperlink w:anchor="note_21">
        <w:r>
          <w:rPr>
            <w:color w:val="000000"/>
            <w:vertAlign w:val="superscript"/>
          </w:rPr>
          <w:t>21</w:t>
        </w:r>
      </w:hyperlink>
      <w:r>
        <w:t xml:space="preserve">, </w:t>
      </w:r>
      <w:hyperlink w:anchor="note_22">
        <w:r>
          <w:rPr>
            <w:color w:val="000000"/>
            <w:vertAlign w:val="superscript"/>
          </w:rPr>
          <w:t>22</w:t>
        </w:r>
      </w:hyperlink>
      <w:r/>
    </w:p>
    <w:p>
      <w:r>
        <w:t>The change worth tracing is the institutional role. Who selected the practice? Who led it? What happened when a student declined? Did a school teach about a tradition, invite personal expression or require participation in an exercise? Precision at that level prevents a broad phrase such as “religion was removed” from carrying more than the evidence supports.</w:t>
      </w:r>
    </w:p>
    <w:p>
      <w:pPr>
        <w:pStyle w:val="Heading2"/>
      </w:pPr>
      <w:r>
        <w:t>Conscience includes the unpopular pupil</w:t>
      </w:r>
    </w:p>
    <w:p>
      <w:r>
        <w:t>In West Virginia State Board of Education v. Barnette in 1943, the Supreme Court rejected compulsory flag-salute requirements imposed on public-school students. The case places conscience and state authority inside the classroom well before the school-prayer decisions.</w:t>
      </w:r>
      <w:hyperlink w:anchor="note_23">
        <w:r>
          <w:rPr>
            <w:color w:val="000000"/>
            <w:vertAlign w:val="superscript"/>
          </w:rPr>
          <w:t>23</w:t>
        </w:r>
      </w:hyperlink>
      <w:r/>
    </w:p>
    <w:p>
      <w:r>
        <w:t>The historical significance is not that schools lost every authority to create common routines. It is that shared civic purpose encountered a constitutional limit. A child’s education could not be understood solely as the institution’s power to require a demonstration of agreement.</w:t>
      </w:r>
    </w:p>
    <w:p>
      <w:r>
        <w:t>That tension remains useful for reading earlier practices. A ritual may have helped some students feel connected and made others feel that their membership depended on violating their beliefs. A complete account should recover both the institution’s stated purpose and the experience of the students who could not comfortably comply.</w:t>
      </w:r>
    </w:p>
    <w:p>
      <w:pPr>
        <w:pStyle w:val="Heading2"/>
      </w:pPr>
      <w:r>
        <w:t>The constitutional changes at a glance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Decision</w:t>
            </w:r>
          </w:p>
        </w:tc>
        <w:tc>
          <w:tcPr>
            <w:tcW w:type="dxa" w:w="3816"/>
            <w:vAlign w:val="center"/>
            <w:shd w:fill="243746"/>
          </w:tcPr>
          <w:p>
            <w:pPr>
              <w:spacing w:after="20" w:line="254" w:lineRule="auto"/>
            </w:pPr>
            <w:r>
              <w:rPr>
                <w:b/>
                <w:color w:val="FFFFFF"/>
                <w:sz w:val="24"/>
              </w:rPr>
              <w:t>Practice at issue</w:t>
            </w:r>
          </w:p>
        </w:tc>
        <w:tc>
          <w:tcPr>
            <w:tcW w:type="dxa" w:w="3874"/>
            <w:vAlign w:val="center"/>
            <w:shd w:fill="243746"/>
          </w:tcPr>
          <w:p>
            <w:pPr>
              <w:spacing w:after="20" w:line="254" w:lineRule="auto"/>
            </w:pPr>
            <w:r>
              <w:rPr>
                <w:b/>
                <w:color w:val="FFFFFF"/>
                <w:sz w:val="24"/>
              </w:rPr>
              <w:t>Historical change</w:t>
            </w:r>
          </w:p>
        </w:tc>
      </w:tr>
      <w:tr>
        <w:trPr>
          <w:cantSplit/>
        </w:trPr>
        <w:tc>
          <w:tcPr>
            <w:tcW w:type="dxa" w:w="2304"/>
            <w:vAlign w:val="center"/>
            <w:shd w:fill="FFFFFF"/>
          </w:tcPr>
          <w:p>
            <w:pPr>
              <w:spacing w:after="20" w:line="254" w:lineRule="auto"/>
            </w:pPr>
            <w:r>
              <w:rPr>
                <w:b w:val="0"/>
                <w:color w:val="000000"/>
                <w:sz w:val="24"/>
              </w:rPr>
              <w:t>Barnette in 1943</w:t>
            </w:r>
          </w:p>
        </w:tc>
        <w:tc>
          <w:tcPr>
            <w:tcW w:type="dxa" w:w="3816"/>
            <w:vAlign w:val="center"/>
            <w:shd w:fill="FFFFFF"/>
          </w:tcPr>
          <w:p>
            <w:pPr>
              <w:spacing w:after="20" w:line="254" w:lineRule="auto"/>
            </w:pPr>
            <w:r>
              <w:rPr>
                <w:b w:val="0"/>
                <w:color w:val="000000"/>
                <w:sz w:val="24"/>
              </w:rPr>
              <w:t>Compulsory flag salute</w:t>
            </w:r>
          </w:p>
        </w:tc>
        <w:tc>
          <w:tcPr>
            <w:tcW w:type="dxa" w:w="3874"/>
            <w:vAlign w:val="center"/>
            <w:shd w:fill="FFFFFF"/>
          </w:tcPr>
          <w:p>
            <w:pPr>
              <w:spacing w:after="20" w:line="254" w:lineRule="auto"/>
            </w:pPr>
            <w:r>
              <w:rPr>
                <w:b w:val="0"/>
                <w:color w:val="000000"/>
                <w:sz w:val="24"/>
              </w:rPr>
              <w:t>A limit on compelled expression in public schools</w:t>
            </w:r>
          </w:p>
        </w:tc>
      </w:tr>
      <w:tr>
        <w:trPr>
          <w:cantSplit/>
        </w:trPr>
        <w:tc>
          <w:tcPr>
            <w:tcW w:type="dxa" w:w="2304"/>
            <w:vAlign w:val="center"/>
            <w:shd w:fill="F2F5F6"/>
          </w:tcPr>
          <w:p>
            <w:pPr>
              <w:spacing w:after="20" w:line="254" w:lineRule="auto"/>
            </w:pPr>
            <w:r>
              <w:rPr>
                <w:b w:val="0"/>
                <w:color w:val="000000"/>
                <w:sz w:val="24"/>
              </w:rPr>
              <w:t>Engel in 1962</w:t>
            </w:r>
          </w:p>
        </w:tc>
        <w:tc>
          <w:tcPr>
            <w:tcW w:type="dxa" w:w="3816"/>
            <w:vAlign w:val="center"/>
            <w:shd w:fill="F2F5F6"/>
          </w:tcPr>
          <w:p>
            <w:pPr>
              <w:spacing w:after="20" w:line="254" w:lineRule="auto"/>
            </w:pPr>
            <w:r>
              <w:rPr>
                <w:b w:val="0"/>
                <w:color w:val="000000"/>
                <w:sz w:val="24"/>
              </w:rPr>
              <w:t>State-composed school prayer</w:t>
            </w:r>
          </w:p>
        </w:tc>
        <w:tc>
          <w:tcPr>
            <w:tcW w:type="dxa" w:w="3874"/>
            <w:vAlign w:val="center"/>
            <w:shd w:fill="F2F5F6"/>
          </w:tcPr>
          <w:p>
            <w:pPr>
              <w:spacing w:after="20" w:line="254" w:lineRule="auto"/>
            </w:pPr>
            <w:r>
              <w:rPr>
                <w:b w:val="0"/>
                <w:color w:val="000000"/>
                <w:sz w:val="24"/>
              </w:rPr>
              <w:t>A limit on government sponsorship of a devotional exercise</w:t>
            </w:r>
          </w:p>
        </w:tc>
      </w:tr>
      <w:tr>
        <w:trPr>
          <w:cantSplit/>
        </w:trPr>
        <w:tc>
          <w:tcPr>
            <w:tcW w:type="dxa" w:w="2304"/>
            <w:vAlign w:val="center"/>
            <w:shd w:fill="FFFFFF"/>
          </w:tcPr>
          <w:p>
            <w:pPr>
              <w:spacing w:after="20" w:line="254" w:lineRule="auto"/>
            </w:pPr>
            <w:r>
              <w:rPr>
                <w:b w:val="0"/>
                <w:color w:val="000000"/>
                <w:sz w:val="24"/>
              </w:rPr>
              <w:t>Schempp in 1963</w:t>
            </w:r>
          </w:p>
        </w:tc>
        <w:tc>
          <w:tcPr>
            <w:tcW w:type="dxa" w:w="3816"/>
            <w:vAlign w:val="center"/>
            <w:shd w:fill="FFFFFF"/>
          </w:tcPr>
          <w:p>
            <w:pPr>
              <w:spacing w:after="20" w:line="254" w:lineRule="auto"/>
            </w:pPr>
            <w:r>
              <w:rPr>
                <w:b w:val="0"/>
                <w:color w:val="000000"/>
                <w:sz w:val="24"/>
              </w:rPr>
              <w:t>School-sponsored Bible reading</w:t>
            </w:r>
          </w:p>
        </w:tc>
        <w:tc>
          <w:tcPr>
            <w:tcW w:type="dxa" w:w="3874"/>
            <w:vAlign w:val="center"/>
            <w:shd w:fill="FFFFFF"/>
          </w:tcPr>
          <w:p>
            <w:pPr>
              <w:spacing w:after="20" w:line="254" w:lineRule="auto"/>
            </w:pPr>
            <w:r>
              <w:rPr>
                <w:b w:val="0"/>
                <w:color w:val="000000"/>
                <w:sz w:val="24"/>
              </w:rPr>
              <w:t>A distinction between devotional practice and objective academic study</w:t>
            </w:r>
          </w:p>
        </w:tc>
      </w:tr>
    </w:tbl>
    <w:p>
      <w:pPr>
        <w:spacing w:after="40"/>
      </w:pPr>
    </w:p>
    <w:p>
      <w:r>
        <w:t>These are summaries of the historical decisions cited above, not a complete statement of present law. Together they show why public authority, religious practice and personal conscience require separate treatment. Their common subject is what a public institution may require or sponsor, rather than whether faith matters to a child or family.</w:t>
      </w:r>
    </w:p>
    <w:p>
      <w:pPr>
        <w:pStyle w:val="Heading2"/>
      </w:pPr>
      <w:r>
        <w:t>Moral instruction after a change in vocabulary</w:t>
      </w:r>
    </w:p>
    <w:p>
      <w:r>
        <w:t>A school can stop using explicitly religious language and continue making moral judgments. Rules about honesty, respect, fairness and responsibility remain value claims. The investigative question is which values the school states, how it defines them and whether its own conduct meets them.</w:t>
      </w:r>
    </w:p>
    <w:p>
      <w:r>
        <w:t>Character education, citizenship education and social-emotional instruction should not be treated as interchangeable categories. Nor should a modern label settle whether the activity is appropriate. A lesson asking students to manage disagreement requires different analysis from one asking them to disclose private family experiences or affirm a political position. The actual exercise matters.</w:t>
      </w:r>
    </w:p>
    <w:p>
      <w:r>
        <w:t>This edition does not infer changes in national religious belief from changes in school practice. Measuring the popularity of a religion requires evidence about affiliation, participation and belief, with comparable survey questions or other records across time. That is a separate project for the series’ religion volume.</w:t>
      </w:r>
    </w:p>
    <w:p>
      <w:pPr>
        <w:pStyle w:val="Heading2"/>
      </w:pPr>
      <w:r>
        <w:t>How to compare a religious and a public school fairly</w:t>
      </w:r>
    </w:p>
    <w:p>
      <w:r>
        <w:t>Different institutions can operate under different missions and legal frameworks. A religious school may explicitly promise a particular faith formation. A public school serves a different institutional function. Comparing their materials without identifying that difference can confuse a disclosed mission with an undisclosed expectation.</w:t>
      </w:r>
    </w:p>
    <w:p>
      <w:r>
        <w:t>The useful comparison examines what families were told, what children were required to do and what educational outcomes were promised. It also asks whether the institution protected children who raised concerns. A stated moral mission deserves examination through practice rather than automatic credit or automatic suspicion.</w:t>
      </w:r>
    </w:p>
    <w:p>
      <w:pPr>
        <w:pStyle w:val="Heading2"/>
      </w:pPr>
      <w:r>
        <w:t>What changed and why it matters</w:t>
      </w:r>
    </w:p>
    <w:p>
      <w:pPr>
        <w:keepLines/>
      </w:pPr>
      <w:r>
        <w:t>Public-school authority over compulsory expression and devotional exercises changed through identifiable decisions. Institutional practice, personal belief and academic study remain different subjects of inquiry.</w:t>
      </w:r>
    </w:p>
    <w:p>
      <w:bookmarkStart w:id="1011" w:name="section_11"/>
      <w:pPr>
        <w:pStyle w:val="Heading1"/>
        <w:pageBreakBefore/>
      </w:pPr>
      <w:r>
        <w:t>Chapter 9 The school day dress discipline and youth language</w:t>
      </w:r>
      <w:bookmarkEnd w:id="1011"/>
    </w:p>
    <w:p>
      <w:pPr>
        <w:pStyle w:val="Heading2"/>
      </w:pPr>
      <w:r>
        <w:t>Culture is visible in ordinary rules</w:t>
      </w:r>
    </w:p>
    <w:p>
      <w:r>
        <w:t>School culture appears in details that a formal curriculum may omit: the acceptable haircut, the tone used with a teacher, the way a child requests permission, the meaning of a late assignment. Such rules teach students how authority works. They can also reveal a gap between an institution’s stated values and its daily conduct.</w:t>
      </w:r>
    </w:p>
    <w:p>
      <w:r>
        <w:t>An old yearbook can show clothing and activities at the moment a photograph was taken. A handbook can show a written rule. Neither establishes consistent enforcement. To understand a school’s culture, we should compare the official rule with disciplinary records, student accounts and evidence of who could obtain an exception.</w:t>
      </w:r>
    </w:p>
    <w:p>
      <w:pPr>
        <w:pStyle w:val="Heading2"/>
      </w:pPr>
      <w:r>
        <w:t>Dress codes as a documented contemporary case</w:t>
      </w:r>
    </w:p>
    <w:p>
      <w:r>
        <w:t>GAO’s 2022 study found that nearly all public school districts had dress codes and that restrictions and enforcement raised questions about equity and safety. Its analysis associated strict dress-code enforcement with higher rates of discipline removing students from classrooms. An association of that kind does not establish that the dress code alone caused the difference.</w:t>
      </w:r>
      <w:hyperlink w:anchor="note_24">
        <w:r>
          <w:rPr>
            <w:color w:val="000000"/>
            <w:vertAlign w:val="superscript"/>
          </w:rPr>
          <w:t>24</w:t>
        </w:r>
      </w:hyperlink>
      <w:r/>
    </w:p>
    <w:p>
      <w:r>
        <w:t>The study gives this book a concrete example of how an ordinary rule can be examined. The relevant evidence includes the wording of restrictions, who is affected, how enforcement occurs and how much instruction students lose. A debate confined to whether clothing is respectful may never reach those operational questions.</w:t>
      </w:r>
    </w:p>
    <w:p>
      <w:r>
        <w:t>An earlier dress rule deserves the same treatment. Was it applied to boys and girls differently? Did it impose costs families struggled to meet? Did a religious practice require an exception? Were students punished formally, sent home informally or simply warned? A comparison can document a cultural change without pretending that one photograph represents an entire era.</w:t>
      </w:r>
    </w:p>
    <w:p>
      <w:pPr>
        <w:pStyle w:val="Heading2"/>
      </w:pPr>
      <w:r>
        <w:t>From obedience to a reasoned boundary</w:t>
      </w:r>
    </w:p>
    <w:p>
      <w:r>
        <w:t>Tinker v. Des Moines in 1969 concerned students suspended for wearing black armbands to protest the Vietnam War. The Supreme Court’s opinion recognized protected student expression in the circumstances of the case while preserving a role for school authority over material disruption. The decision is a historical marker in the relationship between student expression and institutional control.</w:t>
      </w:r>
      <w:hyperlink w:anchor="note_25">
        <w:r>
          <w:rPr>
            <w:color w:val="000000"/>
            <w:vertAlign w:val="superscript"/>
          </w:rPr>
          <w:t>25</w:t>
        </w:r>
      </w:hyperlink>
      <w:r/>
    </w:p>
    <w:p>
      <w:r>
        <w:t>A school’s response to disagreement teaches a lesson of its own. If it asks for reasons and examines evidence, it models accountable authority. If it punishes a question as disloyalty, it teaches something different. This is an evaluative observation, not a claim that every old school or every new school followed one practice.</w:t>
      </w:r>
    </w:p>
    <w:p>
      <w:r>
        <w:t>Discipline also needs to be separated into purpose and method. Protecting classmates from violence is different from punishing an untidy notebook. A reduction in one form of punishment does not necessarily establish the disappearance of standards. A rise in recorded incidents can reflect changed definitions or improved recording. Useful comparisons specify the behavior, response and measurement.</w:t>
      </w:r>
    </w:p>
    <w:p>
      <w:pPr>
        <w:pStyle w:val="Heading2"/>
      </w:pPr>
      <w:r>
        <w:t>Slang and the risk of a false national voice</w:t>
      </w:r>
    </w:p>
    <w:p>
      <w:r>
        <w:t>The language of children changes by place, age, community and medium. A phrase can enter a dictionary after years of spoken use. A newspaper can describe youth slang inaccurately. A surviving school magazine may reflect its editors more than its student population. We should therefore describe the earliest attestation found, rather than declaring an absolute first use without an exhaustive record.</w:t>
      </w:r>
    </w:p>
    <w:p>
      <w:r>
        <w:t>For this series, youth language would be collected from dated student newspapers, letters, recordings and other materials with identifiable settings. Each term would carry a meaning in context, a date range and a note about the source. Frequency in the collected material would describe that collection, not all young people in America.</w:t>
      </w:r>
    </w:p>
    <w:p>
      <w:r>
        <w:t>One useful question is when adult institutions adopt a student term. Another is when students repurpose an institutional word. Those movements may reveal negotiation over identity and authority. They do not automatically imply coordinated manipulation.</w:t>
      </w:r>
    </w:p>
    <w:p>
      <w:pPr>
        <w:pStyle w:val="Heading2"/>
      </w:pPr>
      <w:r>
        <w:t>The words a school uses to describe a child</w:t>
      </w:r>
    </w:p>
    <w:p>
      <w:r>
        <w:t>This volume’s terminology also includes the institution’s language: pupil, student, citizen, consumer, trainee and credential holder. These words direct attention toward different relationships. A pupil receives instruction; a citizen belongs to a political community; a trainee prepares for a task. None is inherently a diagnosis or proof of an ideological program.</w:t>
      </w:r>
    </w:p>
    <w:p>
      <w:r>
        <w:t>The useful comparison records the term alongside the surrounding duty. Does a document explain what the institution owes the child, or only what the child owes the institution? Does a change in vocabulary bring a changed requirement, assessment or right to challenge a decision? A new word can matter most where it changes the action an adult is expected to take.</w:t>
      </w:r>
    </w:p>
    <w:p>
      <w:r>
        <w:t>These are interpretive questions for the series, not asserted dates of first use. The distinction between word origin and changed institutional meaning belongs in the same record. It will allow the later language volume to examine slang and formal terminology without treating one as a reliable proxy for the other.</w:t>
      </w:r>
    </w:p>
    <w:p>
      <w:pPr>
        <w:pStyle w:val="Heading2"/>
      </w:pPr>
      <w:r>
        <w:t>The comparison that matters</w:t>
      </w:r>
    </w:p>
    <w:p>
      <w:r>
        <w:t>A school’s culture should be assessed partly by whether children can understand its rules, predict their fair application and raise concerns without humiliation. Historical style can be fascinating. The more consequential inquiry asks what the style required of the people living inside it.</w:t>
      </w:r>
    </w:p>
    <w:p>
      <w:pPr>
        <w:pStyle w:val="Heading2"/>
      </w:pPr>
      <w:r>
        <w:t>What changed and why it matters</w:t>
      </w:r>
    </w:p>
    <w:p>
      <w:pPr>
        <w:keepLines/>
      </w:pPr>
      <w:r>
        <w:t>Dress and expression can expose how a school exercises authority. Fair rules protect learning without making a child’s access to instruction depend on arbitrary or humiliating enforcement.</w:t>
      </w:r>
    </w:p>
    <w:p>
      <w:bookmarkStart w:id="1012" w:name="section_12"/>
      <w:pPr>
        <w:pStyle w:val="Heading1"/>
        <w:pageBreakBefore/>
      </w:pPr>
      <w:r>
        <w:t>Chapter 10 Physical education health and the use of the body</w:t>
      </w:r>
      <w:bookmarkEnd w:id="1012"/>
    </w:p>
    <w:p>
      <w:pPr>
        <w:pStyle w:val="Heading2"/>
      </w:pPr>
      <w:r>
        <w:t>What counts as physical education</w:t>
      </w:r>
    </w:p>
    <w:p>
      <w:r>
        <w:t>Gym class can serve several purposes: movement skills, fitness, recreation, teamwork or preparation for competitive sport. A comparison across decades should identify which purpose a program actually pursued. Requiring attendance in a gymnasium does not establish that children received substantial movement, sound instruction or an experience they could continue beyond school.</w:t>
      </w:r>
    </w:p>
    <w:p>
      <w:r>
        <w:t>The Kennedy Library preserves a Council on Youth Fitness folder containing material related to The Soft American from late 1960 and early 1961. The archival record supplies a contemporary connection between presidential attention and youth fitness. The folder’s existence does not establish how every school changed its gym classes.</w:t>
      </w:r>
      <w:hyperlink w:anchor="note_26">
        <w:r>
          <w:rPr>
            <w:color w:val="000000"/>
            <w:vertAlign w:val="superscript"/>
          </w:rPr>
          <w:t>26</w:t>
        </w:r>
      </w:hyperlink>
      <w:r/>
    </w:p>
    <w:p>
      <w:r>
        <w:t>That distinction matters for national campaigns. A prominent message can influence public discussion before it changes timetables, staffing or equipment. To trace practical effects, we would need local records showing what schools actually adopted and how the experience differed for students.</w:t>
      </w:r>
    </w:p>
    <w:p>
      <w:pPr>
        <w:pStyle w:val="Heading2"/>
      </w:pPr>
      <w:r>
        <w:t>Health was already part of the earlier agenda</w:t>
      </w:r>
    </w:p>
    <w:p>
      <w:r>
        <w:t>The 1918 Cardinal Principles report placed health first among its named objectives. It called for health instruction, physical activity and attention to school conditions.</w:t>
      </w:r>
      <w:hyperlink w:anchor="note_27">
        <w:r>
          <w:rPr>
            <w:color w:val="000000"/>
            <w:vertAlign w:val="superscript"/>
          </w:rPr>
          <w:t>27</w:t>
        </w:r>
      </w:hyperlink>
      <w:r>
        <w:t xml:space="preserve"> That earlier statement supplies context for the Kennedy-era fitness material: national concern about children’s bodies was not newly invented in the 1960s.</w:t>
      </w:r>
    </w:p>
    <w:p>
      <w:r>
        <w:t>The change worth following is the particular form of the concern. A curriculum can emphasize habits and participation, a campaign can emphasize national fitness, and a test can emphasize individual performance. Those purposes can overlap while producing different experiences for a child. The school’s timetable and assessment reveal which purpose governs its daily decisions.</w:t>
      </w:r>
    </w:p>
    <w:p>
      <w:pPr>
        <w:pStyle w:val="Heading2"/>
      </w:pPr>
      <w:r>
        <w:t>Fitness opportunity and public display</w:t>
      </w:r>
    </w:p>
    <w:p>
      <w:r>
        <w:t>A fitness test can measure a particular performance under particular conditions. It can also become a public ranking. The educational question is what happens after the result. Does a child receive appropriate instruction and a route toward improvement? Or does the measurement merely confirm which children already perform well?</w:t>
      </w:r>
    </w:p>
    <w:p>
      <w:r>
        <w:t>Historical comparison should separate participation, performance and educational purpose. A school with successful athletic teams may offer weak physical education to the wider student body. A program with modest facilities may provide frequent movement and practical skills. The reputation of a sports program cannot stand in for the experience of every child.</w:t>
      </w:r>
    </w:p>
    <w:p>
      <w:r>
        <w:t>Access also matters. Title IX was enacted as part of the Education Amendments of 1972. Its place in educational history includes the prohibition of sex discrimination in covered educational programs. A study of sports and gym should distinguish that statutory change from the timing and substance of local implementation.</w:t>
      </w:r>
      <w:hyperlink w:anchor="note_28">
        <w:r>
          <w:rPr>
            <w:color w:val="000000"/>
            <w:vertAlign w:val="superscript"/>
          </w:rPr>
          <w:t>28</w:t>
        </w:r>
      </w:hyperlink>
      <w:r/>
    </w:p>
    <w:p>
      <w:pPr>
        <w:pStyle w:val="Heading2"/>
      </w:pPr>
      <w:r>
        <w:t>Health teaching and the boundary of school authority</w:t>
      </w:r>
    </w:p>
    <w:p>
      <w:r>
        <w:t>Health instruction combines factual material with choices about age, privacy and the division of responsibility between families and schools. A curriculum can teach a useful skill while using a method that deserves criticism. The object of review should be the actual lesson, its stated objective and what students are asked to disclose or perform.</w:t>
      </w:r>
    </w:p>
    <w:p>
      <w:r>
        <w:t>This book does not offer a retrospective clinical diagnosis of students, teachers or an era. Nor does it infer adult misconduct from changes in clothing or health vocabulary. Those are separate evidence questions. A safeguarding concern requires attention to conduct, boundaries and institutional response.</w:t>
      </w:r>
    </w:p>
    <w:p>
      <w:r>
        <w:t>When comparing health instruction, record the source of the information, the age group, the review process and the means of communicating with families. Avoid describing an entire curriculum with a single controversial excerpt unless that excerpt accurately represents its role and reach.</w:t>
      </w:r>
    </w:p>
    <w:p>
      <w:pPr>
        <w:pStyle w:val="Heading2"/>
      </w:pPr>
      <w:r>
        <w:t>The timetable reveals priorities</w:t>
      </w:r>
    </w:p>
    <w:p>
      <w:r>
        <w:t>The amount of time allocated to physical education and recess can be documented through schedules. Whether students actually receive that time requires additional evidence. Cancellations, substitutions and participation exemptions can make the formal schedule an incomplete account.</w:t>
      </w:r>
    </w:p>
    <w:p>
      <w:r>
        <w:t>A useful historical study would compare equivalent age groups and seasons in a defined set of schools. It would record instruction, free play, organized sport and health lessons separately. It would then examine staffing, facilities and policy decisions that help explain the allocation. This edition does not supply a fabricated national century-long series where the underlying measurements are not comparable.</w:t>
      </w:r>
    </w:p>
    <w:p>
      <w:pPr>
        <w:pStyle w:val="Heading2"/>
      </w:pPr>
      <w:r>
        <w:t>The educational test</w:t>
      </w:r>
    </w:p>
    <w:p>
      <w:r>
        <w:t>The strongest purpose for physical education is one a student can carry beyond the class: knowledge, skills and opportunities for meaningful activity. Public measurement may contribute to that purpose, but the measurement alone cannot establish it. The historical question is whether a program built capacity for the whole student population and whether adults could explain the choices they made.</w:t>
      </w:r>
    </w:p>
    <w:p>
      <w:pPr>
        <w:pStyle w:val="Heading2"/>
      </w:pPr>
      <w:r>
        <w:t>What changed and why it matters</w:t>
      </w:r>
    </w:p>
    <w:p>
      <w:pPr>
        <w:keepLines/>
      </w:pPr>
      <w:r>
        <w:t>Health and fitness appear in educational agendas across the timeline. A program serves children when instruction and participation matter alongside the performances it records.</w:t>
      </w:r>
    </w:p>
    <w:p>
      <w:bookmarkStart w:id="1013" w:name="section_13"/>
      <w:pPr>
        <w:pStyle w:val="Heading1"/>
        <w:pageBreakBefore/>
      </w:pPr>
      <w:r>
        <w:t>Chapter 11 Practical skills home economics and work</w:t>
      </w:r>
      <w:bookmarkEnd w:id="1013"/>
    </w:p>
    <w:p>
      <w:pPr>
        <w:pStyle w:val="Heading2"/>
      </w:pPr>
      <w:r>
        <w:t>The value assigned to useful knowledge</w:t>
      </w:r>
    </w:p>
    <w:p>
      <w:r>
        <w:t>Practical education exposes a society’s judgments about work. A curriculum can treat maintaining a household, repairing equipment or managing money as serious knowledge, a lower-status alternative or a responsibility children are expected to learn elsewhere. Those judgments determine who receives instruction and who must improvise without it.</w:t>
      </w:r>
    </w:p>
    <w:p>
      <w:r>
        <w:t>The Smith-Hughes Act of 1917 established a federal role in vocational education that included agriculture, industry and home economics. The National Archives’ institutional history identifies the Federal Board for Vocational Education and the fields it was created to promote. This predates our main timeline and shows that public involvement in work-related instruction was already established when the century began.</w:t>
      </w:r>
      <w:hyperlink w:anchor="note_29">
        <w:r>
          <w:rPr>
            <w:color w:val="000000"/>
            <w:vertAlign w:val="superscript"/>
          </w:rPr>
          <w:t>29</w:t>
        </w:r>
      </w:hyperlink>
      <w:r/>
    </w:p>
    <w:p>
      <w:r>
        <w:t>The existence of vocational provision does not tell us whether students entered it by choice, whether it offered a respected path or whether it limited later opportunities. Those questions require enrollment practices, course sequences and information about what students could do after completing the program.</w:t>
      </w:r>
    </w:p>
    <w:p>
      <w:pPr>
        <w:pStyle w:val="Heading2"/>
      </w:pPr>
      <w:r>
        <w:t>A naming change we can document</w:t>
      </w:r>
    </w:p>
    <w:p>
      <w:r>
        <w:t>The American Association of Family and Consumer Sciences states that the association and other organizations and programs adopted the name family and consumer sciences in 1994 to reflect the field’s complexity. Its account describes subjects including family finance, nutrition, housing and human development. This is a documented professional naming change and the organization’s stated explanation for it.</w:t>
      </w:r>
      <w:hyperlink w:anchor="note_30">
        <w:r>
          <w:rPr>
            <w:color w:val="000000"/>
            <w:vertAlign w:val="superscript"/>
          </w:rPr>
          <w:t>30</w:t>
        </w:r>
      </w:hyperlink>
      <w:r/>
    </w:p>
    <w:p>
      <w:r>
        <w:t>That evidence supports a more precise story than “home economics disappeared.” In a given school, a course could have been renamed, expanded, reduced or eliminated. Each possibility needs local evidence. The association’s explanation establishes its stated purpose; it does not settle every criticism of the change or prove that every program improved.</w:t>
      </w:r>
    </w:p>
    <w:p>
      <w:r>
        <w:t>For families, the substantive question remains concrete. Can a student plan a budget, evaluate a contract, prepare food safely or understand the cost of maintaining a home? A modern title provides no guarantee. An older title provides none either. Course content and demonstrated competence matter more than familiarity.</w:t>
      </w:r>
    </w:p>
    <w:p>
      <w:pPr>
        <w:pStyle w:val="Heading2"/>
      </w:pPr>
      <w:r>
        <w:t>Apprenticeship and the classroom boundary</w:t>
      </w:r>
    </w:p>
    <w:p>
      <w:r>
        <w:t>The National Apprenticeship Act of 1937 created a federal foundation for the promotion of apprenticeship standards. Its place in this timeline reminds us that learning for work has never been confined to a conventional classroom.</w:t>
      </w:r>
      <w:hyperlink w:anchor="note_31">
        <w:r>
          <w:rPr>
            <w:color w:val="000000"/>
            <w:vertAlign w:val="superscript"/>
          </w:rPr>
          <w:t>31</w:t>
        </w:r>
      </w:hyperlink>
      <w:r/>
    </w:p>
    <w:p>
      <w:r>
        <w:t>Work-based learning raises a distinct question about power. Who is responsible for instruction when the learner is also producing useful work? A program can offer valuable supervised experience, but the employer’s immediate need and the learner’s long-term development are not always identical. Standards, supervision and a transferable record of competence help make that relationship visible.</w:t>
      </w:r>
    </w:p>
    <w:p>
      <w:r>
        <w:t>The Strengthening Career and Technical Education for the 21st Century Act, commonly called Perkins V, was signed on July 31, 2018. It provides a later federal milestone in career and technical education.</w:t>
      </w:r>
      <w:hyperlink w:anchor="note_32">
        <w:r>
          <w:rPr>
            <w:color w:val="000000"/>
            <w:vertAlign w:val="superscript"/>
          </w:rPr>
          <w:t>32</w:t>
        </w:r>
      </w:hyperlink>
      <w:r>
        <w:t xml:space="preserve"> The terminology should prompt a comparison of pathways, funding priorities and outcomes rather than an assumption that all vocational education became one new system at that moment.</w:t>
      </w:r>
    </w:p>
    <w:p>
      <w:pPr>
        <w:pStyle w:val="Heading2"/>
      </w:pPr>
      <w:r>
        <w:t>A century of practical preparation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Date</w:t>
            </w:r>
          </w:p>
        </w:tc>
        <w:tc>
          <w:tcPr>
            <w:tcW w:type="dxa" w:w="3816"/>
            <w:vAlign w:val="center"/>
            <w:shd w:fill="243746"/>
          </w:tcPr>
          <w:p>
            <w:pPr>
              <w:spacing w:after="20" w:line="254" w:lineRule="auto"/>
            </w:pPr>
            <w:r>
              <w:rPr>
                <w:b/>
                <w:color w:val="FFFFFF"/>
                <w:sz w:val="24"/>
              </w:rPr>
              <w:t>Documented development</w:t>
            </w:r>
          </w:p>
        </w:tc>
        <w:tc>
          <w:tcPr>
            <w:tcW w:type="dxa" w:w="3874"/>
            <w:vAlign w:val="center"/>
            <w:shd w:fill="243746"/>
          </w:tcPr>
          <w:p>
            <w:pPr>
              <w:spacing w:after="20" w:line="254" w:lineRule="auto"/>
            </w:pPr>
            <w:r>
              <w:rPr>
                <w:b/>
                <w:color w:val="FFFFFF"/>
                <w:sz w:val="24"/>
              </w:rPr>
              <w:t>Kind of influence</w:t>
            </w:r>
          </w:p>
        </w:tc>
      </w:tr>
      <w:tr>
        <w:trPr>
          <w:cantSplit/>
        </w:trPr>
        <w:tc>
          <w:tcPr>
            <w:tcW w:type="dxa" w:w="2304"/>
            <w:vAlign w:val="center"/>
            <w:shd w:fill="FFFFFF"/>
          </w:tcPr>
          <w:p>
            <w:pPr>
              <w:spacing w:after="20" w:line="254" w:lineRule="auto"/>
            </w:pPr>
            <w:r>
              <w:rPr>
                <w:b w:val="0"/>
                <w:color w:val="000000"/>
                <w:sz w:val="24"/>
              </w:rPr>
              <w:t>1917</w:t>
            </w:r>
          </w:p>
        </w:tc>
        <w:tc>
          <w:tcPr>
            <w:tcW w:type="dxa" w:w="3816"/>
            <w:vAlign w:val="center"/>
            <w:shd w:fill="FFFFFF"/>
          </w:tcPr>
          <w:p>
            <w:pPr>
              <w:spacing w:after="20" w:line="254" w:lineRule="auto"/>
            </w:pPr>
            <w:r>
              <w:rPr>
                <w:b w:val="0"/>
                <w:color w:val="000000"/>
                <w:sz w:val="24"/>
              </w:rPr>
              <w:t>Smith-Hughes Act</w:t>
            </w:r>
          </w:p>
        </w:tc>
        <w:tc>
          <w:tcPr>
            <w:tcW w:type="dxa" w:w="3874"/>
            <w:vAlign w:val="center"/>
            <w:shd w:fill="FFFFFF"/>
          </w:tcPr>
          <w:p>
            <w:pPr>
              <w:spacing w:after="20" w:line="254" w:lineRule="auto"/>
            </w:pPr>
            <w:r>
              <w:rPr>
                <w:b w:val="0"/>
                <w:color w:val="000000"/>
                <w:sz w:val="24"/>
              </w:rPr>
              <w:t>Federal organization and support for vocational education</w:t>
            </w:r>
          </w:p>
        </w:tc>
      </w:tr>
      <w:tr>
        <w:trPr>
          <w:cantSplit/>
        </w:trPr>
        <w:tc>
          <w:tcPr>
            <w:tcW w:type="dxa" w:w="2304"/>
            <w:vAlign w:val="center"/>
            <w:shd w:fill="F2F5F6"/>
          </w:tcPr>
          <w:p>
            <w:pPr>
              <w:spacing w:after="20" w:line="254" w:lineRule="auto"/>
            </w:pPr>
            <w:r>
              <w:rPr>
                <w:b w:val="0"/>
                <w:color w:val="000000"/>
                <w:sz w:val="24"/>
              </w:rPr>
              <w:t>1937</w:t>
            </w:r>
          </w:p>
        </w:tc>
        <w:tc>
          <w:tcPr>
            <w:tcW w:type="dxa" w:w="3816"/>
            <w:vAlign w:val="center"/>
            <w:shd w:fill="F2F5F6"/>
          </w:tcPr>
          <w:p>
            <w:pPr>
              <w:spacing w:after="20" w:line="254" w:lineRule="auto"/>
            </w:pPr>
            <w:r>
              <w:rPr>
                <w:b w:val="0"/>
                <w:color w:val="000000"/>
                <w:sz w:val="24"/>
              </w:rPr>
              <w:t>National Apprenticeship Act</w:t>
            </w:r>
          </w:p>
        </w:tc>
        <w:tc>
          <w:tcPr>
            <w:tcW w:type="dxa" w:w="3874"/>
            <w:vAlign w:val="center"/>
            <w:shd w:fill="F2F5F6"/>
          </w:tcPr>
          <w:p>
            <w:pPr>
              <w:spacing w:after="20" w:line="254" w:lineRule="auto"/>
            </w:pPr>
            <w:r>
              <w:rPr>
                <w:b w:val="0"/>
                <w:color w:val="000000"/>
                <w:sz w:val="24"/>
              </w:rPr>
              <w:t>Standards for learning in the workplace</w:t>
            </w:r>
          </w:p>
        </w:tc>
      </w:tr>
      <w:tr>
        <w:trPr>
          <w:cantSplit/>
        </w:trPr>
        <w:tc>
          <w:tcPr>
            <w:tcW w:type="dxa" w:w="2304"/>
            <w:vAlign w:val="center"/>
            <w:shd w:fill="FFFFFF"/>
          </w:tcPr>
          <w:p>
            <w:pPr>
              <w:spacing w:after="20" w:line="254" w:lineRule="auto"/>
            </w:pPr>
            <w:r>
              <w:rPr>
                <w:b w:val="0"/>
                <w:color w:val="000000"/>
                <w:sz w:val="24"/>
              </w:rPr>
              <w:t>1994</w:t>
            </w:r>
          </w:p>
        </w:tc>
        <w:tc>
          <w:tcPr>
            <w:tcW w:type="dxa" w:w="3816"/>
            <w:vAlign w:val="center"/>
            <w:shd w:fill="FFFFFF"/>
          </w:tcPr>
          <w:p>
            <w:pPr>
              <w:spacing w:after="20" w:line="254" w:lineRule="auto"/>
            </w:pPr>
            <w:r>
              <w:rPr>
                <w:b w:val="0"/>
                <w:color w:val="000000"/>
                <w:sz w:val="24"/>
              </w:rPr>
              <w:t>Adoption of family and consumer sciences terminology</w:t>
            </w:r>
          </w:p>
        </w:tc>
        <w:tc>
          <w:tcPr>
            <w:tcW w:type="dxa" w:w="3874"/>
            <w:vAlign w:val="center"/>
            <w:shd w:fill="FFFFFF"/>
          </w:tcPr>
          <w:p>
            <w:pPr>
              <w:spacing w:after="20" w:line="254" w:lineRule="auto"/>
            </w:pPr>
            <w:r>
              <w:rPr>
                <w:b w:val="0"/>
                <w:color w:val="000000"/>
                <w:sz w:val="24"/>
              </w:rPr>
              <w:t>Professional identity and the scope of a field</w:t>
            </w:r>
          </w:p>
        </w:tc>
      </w:tr>
      <w:tr>
        <w:trPr>
          <w:cantSplit/>
        </w:trPr>
        <w:tc>
          <w:tcPr>
            <w:tcW w:type="dxa" w:w="2304"/>
            <w:vAlign w:val="center"/>
            <w:shd w:fill="F2F5F6"/>
          </w:tcPr>
          <w:p>
            <w:pPr>
              <w:spacing w:after="20" w:line="254" w:lineRule="auto"/>
            </w:pPr>
            <w:r>
              <w:rPr>
                <w:b w:val="0"/>
                <w:color w:val="000000"/>
                <w:sz w:val="24"/>
              </w:rPr>
              <w:t>2018</w:t>
            </w:r>
          </w:p>
        </w:tc>
        <w:tc>
          <w:tcPr>
            <w:tcW w:type="dxa" w:w="3816"/>
            <w:vAlign w:val="center"/>
            <w:shd w:fill="F2F5F6"/>
          </w:tcPr>
          <w:p>
            <w:pPr>
              <w:spacing w:after="20" w:line="254" w:lineRule="auto"/>
            </w:pPr>
            <w:r>
              <w:rPr>
                <w:b w:val="0"/>
                <w:color w:val="000000"/>
                <w:sz w:val="24"/>
              </w:rPr>
              <w:t>Perkins V</w:t>
            </w:r>
          </w:p>
        </w:tc>
        <w:tc>
          <w:tcPr>
            <w:tcW w:type="dxa" w:w="3874"/>
            <w:vAlign w:val="center"/>
            <w:shd w:fill="F2F5F6"/>
          </w:tcPr>
          <w:p>
            <w:pPr>
              <w:spacing w:after="20" w:line="254" w:lineRule="auto"/>
            </w:pPr>
            <w:r>
              <w:rPr>
                <w:b w:val="0"/>
                <w:color w:val="000000"/>
                <w:sz w:val="24"/>
              </w:rPr>
              <w:t>A later federal framework for career and technical education</w:t>
            </w:r>
          </w:p>
        </w:tc>
      </w:tr>
    </w:tbl>
    <w:p>
      <w:pPr>
        <w:spacing w:after="40"/>
      </w:pPr>
    </w:p>
    <w:p>
      <w:r>
        <w:t>The sources cited in this chapter establish these separate developments. They do not establish that one program simply replaced the next. A student could encounter household instruction, an occupational pathway and later workplace learning under different authorities.</w:t>
      </w:r>
    </w:p>
    <w:p>
      <w:r>
        <w:t>The enduring question is whether preparation creates usable independence. Can a student manage the promised task, continue learning and move to another pathway? Those consequences give a history of practical education a stronger standard than whether an older course title survives.</w:t>
      </w:r>
    </w:p>
    <w:p>
      <w:pPr>
        <w:pStyle w:val="Heading2"/>
      </w:pPr>
      <w:r>
        <w:t>Practical education and social sorting</w:t>
      </w:r>
    </w:p>
    <w:p>
      <w:r>
        <w:t>A practical course can broaden opportunity. It can also become a destination assigned to students whom an institution has decided will not pursue further study. The same workshop may therefore represent opportunity for one student and a restricted future for another. A fair account asks about choice, advising and the availability of later routes.</w:t>
      </w:r>
    </w:p>
    <w:p>
      <w:pPr>
        <w:pStyle w:val="Heading2"/>
      </w:pPr>
      <w:r>
        <w:t>What changed and why it matters</w:t>
      </w:r>
    </w:p>
    <w:p>
      <w:pPr>
        <w:keepLines/>
      </w:pPr>
      <w:r>
        <w:t>Practical education changed through legislation, professional identity and work-based standards. Its value lies in usable competence and accessible pathways, not the prestige of a course label.</w:t>
      </w:r>
    </w:p>
    <w:p>
      <w:bookmarkStart w:id="1014" w:name="section_14"/>
      <w:pPr>
        <w:pStyle w:val="Heading1"/>
        <w:pageBreakBefore/>
      </w:pPr>
      <w:r>
        <w:t>Chapter 12 Teachers and the meaning of a credential</w:t>
      </w:r>
      <w:bookmarkEnd w:id="1014"/>
    </w:p>
    <w:p>
      <w:pPr>
        <w:pStyle w:val="Heading2"/>
      </w:pPr>
      <w:r>
        <w:t>Credentials make a promise</w:t>
      </w:r>
    </w:p>
    <w:p>
      <w:r>
        <w:t>A credential tells the public that someone has met a defined standard. The promise depends on what was measured, who set the standard and whether the credential remains relevant to the work. More credentials do not automatically mean better preparation. Fewer requirements do not automatically mean greater freedom without cost.</w:t>
      </w:r>
    </w:p>
    <w:p>
      <w:r>
        <w:t>For teachers, a historical comparison should separate academic coursework, supervised practice, subject knowledge, examinations and continuing obligations. A change in one element should not be described as a change in all of them. State-specific rules are essential to a precise account; this edition does not claim a uniform national licensing sequence.</w:t>
      </w:r>
    </w:p>
    <w:p>
      <w:r>
        <w:t>The 1983 report A Nation at Risk recommended changes in teacher preparation and the conditions of teaching alongside changes in content, time and expectations. Its scope shows that a major reform argument could place responsibility on institutional design as well as students. A recommendation in the report remains a recommendation until adoption is separately documented.</w:t>
      </w:r>
      <w:hyperlink w:anchor="note_33">
        <w:r>
          <w:rPr>
            <w:color w:val="000000"/>
            <w:vertAlign w:val="superscript"/>
          </w:rPr>
          <w:t>33</w:t>
        </w:r>
      </w:hyperlink>
      <w:r/>
    </w:p>
    <w:p>
      <w:pPr>
        <w:pStyle w:val="Heading2"/>
      </w:pPr>
      <w:r>
        <w:t>A naming sequence that can be documented</w:t>
      </w:r>
    </w:p>
    <w:p>
      <w:r>
        <w:t>Massachusetts College of Liberal Arts records its origin as the Normal School in North Adams in 1894, its change to the State Teachers College of North Adams in 1932, its adoption of North Adams State College in 1960 and its present name in 1997. Its institutional account connects these changes with an evolving educational mission.</w:t>
      </w:r>
      <w:hyperlink w:anchor="note_34">
        <w:r>
          <w:rPr>
            <w:color w:val="000000"/>
            <w:vertAlign w:val="superscript"/>
          </w:rPr>
          <w:t>34</w:t>
        </w:r>
      </w:hyperlink>
      <w:r/>
    </w:p>
    <w:p>
      <w:r>
        <w:t>Here, a sequence of names has an identifiable institution behind it. The evidence does not ask the reader to assume that every school followed the same path. It also gives us a way to test the meaning of a label: compare the courses, degree requirements and supervised practice offered under successive names.</w:t>
      </w:r>
    </w:p>
    <w:p>
      <w:r>
        <w:t>Teacher preparation can become more academically elaborate while leaving classroom support inadequate. It can also gain depth and breadth as its institution grows. The name establishes a change in public identity; program records and graduates’ preparation establish what that change delivered. A serious account of professionalization follows both.</w:t>
      </w:r>
    </w:p>
    <w:p>
      <w:pPr>
        <w:pStyle w:val="Heading2"/>
      </w:pPr>
      <w:r>
        <w:t>Three professional comparisons</w:t>
      </w:r>
    </w:p>
    <w:p>
      <w:r>
        <w:t>Engineering offers a historical marker for the development of formal authorization. NCEES records Wyoming’s 1907 engineering licensure law and the organization of a council of state boards in 1920. These dates concern regulatory development. They should not be read as proof that engineering competence began with licensing.</w:t>
      </w:r>
      <w:hyperlink w:anchor="note_35">
        <w:r>
          <w:rPr>
            <w:color w:val="000000"/>
            <w:vertAlign w:val="superscript"/>
          </w:rPr>
          <w:t>35</w:t>
        </w:r>
      </w:hyperlink>
      <w:r/>
    </w:p>
    <w:p>
      <w:r>
        <w:t>Nursing offers a different kind of transition. NCSBN’s history records the introduction of computerized adaptive testing for the NCLEX in 1994. That was a change in the method of assessment, not the disappearance of the need to demonstrate competence. Comparing pass rates across changed assessment conditions requires attention to the test and its standards.</w:t>
      </w:r>
      <w:hyperlink w:anchor="note_36">
        <w:r>
          <w:rPr>
            <w:color w:val="000000"/>
            <w:vertAlign w:val="superscript"/>
          </w:rPr>
          <w:t>36</w:t>
        </w:r>
      </w:hyperlink>
      <w:r/>
    </w:p>
    <w:p>
      <w:r>
        <w:t>Medical education offers a case of a report seeking to reshape a professional field. Abraham Flexner’s 1910 Medical Education in the United States and Canada examined training institutions and recommended a more demanding educational model. The report is evidence of the evaluation and reform program it advanced. Its broader effects require institutional histories, including who gained or lost access to training.</w:t>
      </w:r>
      <w:hyperlink w:anchor="note_37">
        <w:r>
          <w:rPr>
            <w:color w:val="000000"/>
            <w:vertAlign w:val="superscript"/>
          </w:rPr>
          <w:t>37</w:t>
        </w:r>
      </w:hyperlink>
      <w:r/>
    </w:p>
    <w:p>
      <w:r>
        <w:t>These cases show why the word “certification” is too broad for every professional change. A school can award a degree. A private body can certify a skill. A government can issue a license to practice. An accreditor can evaluate an institution or program. The authorities and consequences differ.</w:t>
      </w:r>
    </w:p>
    <w:p>
      <w:pPr>
        <w:pStyle w:val="Heading2"/>
      </w:pPr>
      <w:r>
        <w:t>The cost of proving competence</w:t>
      </w:r>
    </w:p>
    <w:p>
      <w:r>
        <w:t>A requirement can protect the public and create a barrier. The relevant question is whether the barrier is justified by a demonstrable relationship to competent practice. Fees, prerequisite courses, examination availability and recognition of prior learning should be part of the analysis.</w:t>
      </w:r>
    </w:p>
    <w:p>
      <w:r>
        <w:t>This is especially important when an occupation changes faster than its formal pathways. A new requirement may bring training into line with actual work. It may also require experienced people to purchase a credential whose additional educational value is unclear. Neither conclusion should be assumed from the existence of the requirement.</w:t>
      </w:r>
    </w:p>
    <w:p>
      <w:r>
        <w:t>For the education system, the same question applies to professional development. Attendance at a workshop documents attendance. It does not establish that a teacher understood a method or could apply it effectively. A meaningful account follows the training into practice and examines feedback, support and results.</w:t>
      </w:r>
    </w:p>
    <w:p>
      <w:pPr>
        <w:pStyle w:val="Heading2"/>
      </w:pPr>
      <w:r>
        <w:t>What a century of credentials should ask</w:t>
      </w:r>
    </w:p>
    <w:p>
      <w:r>
        <w:t>The best comparison identifies the competence the public needs and the evidence used to establish it. It then examines who controls the gateway, what it costs and whether the process can correct its own failures. Professional authority deserves respect when its standards are visible and relevant. It deserves scrutiny when the credential’s promise exceeds what the process actually verifies.</w:t>
      </w:r>
    </w:p>
    <w:p>
      <w:pPr>
        <w:pStyle w:val="Heading2"/>
      </w:pPr>
      <w:r>
        <w:t>What changed and why it matters</w:t>
      </w:r>
    </w:p>
    <w:p>
      <w:pPr>
        <w:keepLines/>
      </w:pPr>
      <w:r>
        <w:t>Institutional renaming, licensing, accreditation and examination redesign are distinct changes. A credential deserves trust when the process behind it verifies the competence the public expects.</w:t>
      </w:r>
    </w:p>
    <w:p>
      <w:bookmarkStart w:id="1015" w:name="section_15"/>
      <w:pPr>
        <w:pStyle w:val="Heading1"/>
        <w:pageBreakBefore/>
      </w:pPr>
      <w:r>
        <w:t>Chapter 13 Access disability and the children in the comparison</w:t>
      </w:r>
      <w:bookmarkEnd w:id="1015"/>
    </w:p>
    <w:p>
      <w:pPr>
        <w:pStyle w:val="Heading2"/>
      </w:pPr>
      <w:r>
        <w:t>A school system is defined partly by whom it serves</w:t>
      </w:r>
    </w:p>
    <w:p>
      <w:r>
        <w:t>An account of educational quality must include the boundary of participation. A school can produce impressive results among students it admits while leaving other children with little meaningful opportunity. A comparison across decades becomes misleading if it treats the enrolled population as fixed when access has changed.</w:t>
      </w:r>
    </w:p>
    <w:p>
      <w:r>
        <w:t>The Education for All Handicapped Children Act of 1975 established a major federal framework for the education of children with disabilities. The Department of Education’s history traces its development into the Individuals with Disabilities Education Act and later amendments. The change involved rights and educational obligations, not simply more sympathetic vocabulary.</w:t>
      </w:r>
      <w:hyperlink w:anchor="note_38">
        <w:r>
          <w:rPr>
            <w:color w:val="000000"/>
            <w:vertAlign w:val="superscript"/>
          </w:rPr>
          <w:t>38</w:t>
        </w:r>
      </w:hyperlink>
      <w:r/>
    </w:p>
    <w:p>
      <w:r>
        <w:t>The historical wording of a law may differ from the language used respectfully today. When identifying a document, its original title matters. In describing people, the author should avoid turning a historical category into a timeless account of an individual. A label can reflect the institution’s classification system as much as the person’s needs.</w:t>
      </w:r>
    </w:p>
    <w:p>
      <w:pPr>
        <w:pStyle w:val="Heading2"/>
      </w:pPr>
      <w:r>
        <w:t>A right on paper and an experience in a classroom</w:t>
      </w:r>
    </w:p>
    <w:p>
      <w:r>
        <w:t>A legal guarantee does not establish adequate staffing, accessible materials or effective instruction. Nor does a failure of implementation mean the guarantee had no value. The history has to examine both. Otherwise, readers receive either a ceremonial account of reform or a collection of failures with no explanation of what changed in people’s ability to challenge them.</w:t>
      </w:r>
    </w:p>
    <w:p>
      <w:r>
        <w:t>For a family, access may depend on an ordinary detail: whether a lesson is available in a usable format, whether a building can be entered, whether support arrives consistently. Such details can determine whether formal enrollment becomes real participation. They deserve a place alongside national legislation.</w:t>
      </w:r>
    </w:p>
    <w:p>
      <w:r>
        <w:t>The same distinction applies to the language of inclusion. Placement in a classroom is observable. Meaningful participation and learning require further evidence. An institution should be able to explain how it evaluates those outcomes and how it responds when a placement does not meet a child’s needs.</w:t>
      </w:r>
    </w:p>
    <w:p>
      <w:pPr>
        <w:pStyle w:val="Heading2"/>
      </w:pPr>
      <w:r>
        <w:t>The denominator changes the story</w:t>
      </w:r>
    </w:p>
    <w:p>
      <w:r>
        <w:t>Suppose an older school reports high examination scores after excluding students with substantial support needs. A later school includes those students and reports a lower overall average. The difference does not, by itself, establish declining instruction. It may reflect a changed population, a changed test, a real instructional problem or several factors at once.</w:t>
      </w:r>
    </w:p>
    <w:p>
      <w:r>
        <w:t>The reverse error is equally serious. Expanded enrollment is an achievement of access, but it cannot excuse inadequate learning. A child who is finally admitted still deserves competent teaching. A complete evaluation tracks participation and educational results separately, then examines their relationship.</w:t>
      </w:r>
    </w:p>
    <w:p>
      <w:r>
        <w:t>For this reason, every quantitative comparison in the series should record eligibility, actual participation, exclusions and accommodations. Where the original source does not supply those details, the limitation should accompany the result. An unexplained national average is too blunt an instrument for judging a complex change.</w:t>
      </w:r>
    </w:p>
    <w:p>
      <w:pPr>
        <w:pStyle w:val="Heading2"/>
      </w:pPr>
      <w:r>
        <w:t>The role of families and testimony</w:t>
      </w:r>
    </w:p>
    <w:p>
      <w:r>
        <w:t>Administrative records describe what an institution recognized. Family testimony can reveal needs or failures that the institution did not record. Both require evaluation. A carefully documented personal account can establish an individual experience without establishing how frequently it occurred elsewhere.</w:t>
      </w:r>
    </w:p>
    <w:p>
      <w:r>
        <w:t>This edition contains no invented interviews. Future reporting should invite participants to distinguish what they remember, what they documented and what they inferred. That approach treats memory respectfully while preserving the difference between lived experience and a verified general claim.</w:t>
      </w:r>
    </w:p>
    <w:p>
      <w:r>
        <w:t>The principal historical change is that some children acquired stronger claims to educational participation and support. The unfinished question is how institutions honored those claims. A serious history follows the obligation into the classroom and asks what the child could actually do there.</w:t>
      </w:r>
    </w:p>
    <w:p>
      <w:pPr>
        <w:pStyle w:val="Heading2"/>
      </w:pPr>
      <w:r>
        <w:t>What changed and why it matters</w:t>
      </w:r>
    </w:p>
    <w:p>
      <w:pPr>
        <w:keepLines/>
      </w:pPr>
      <w:r>
        <w:t>Stronger educational rights changed who could demand participation and support. The remaining test is whether the institution delivered an education the child could actually use.</w:t>
      </w:r>
    </w:p>
    <w:p>
      <w:bookmarkStart w:id="1016" w:name="section_16"/>
      <w:pPr>
        <w:pStyle w:val="Heading1"/>
        <w:pageBreakBefore/>
      </w:pPr>
      <w:r>
        <w:t>Chapter 14 Money publishing and the authority to choose</w:t>
      </w:r>
      <w:bookmarkEnd w:id="1016"/>
    </w:p>
    <w:p>
      <w:pPr>
        <w:pStyle w:val="Heading2"/>
      </w:pPr>
      <w:r>
        <w:t>Curriculum follows decisions that can be documented</w:t>
      </w:r>
    </w:p>
    <w:p>
      <w:r>
        <w:t>A curriculum is partly an intellectual product and partly an administrative arrangement. Someone approves it, schedules it, purchases materials and decides how success will be measured. Those decisions can be more consequential than the public language announcing the reform.</w:t>
      </w:r>
    </w:p>
    <w:p>
      <w:r>
        <w:t>Federal educational involvement provides several distinct examples. The 1944 GI Bill supported education and training for eligible veterans. The Elementary and Secondary Education Act began in 1965; later reauthorizations included the No Child Left Behind Act enacted in 2002 and the Every Student Succeeds Act enacted in 2015. These programs and statutes had different purposes and mechanisms. They should not be merged into a single undifferentiated account of government control.</w:t>
      </w:r>
      <w:hyperlink w:anchor="note_39">
        <w:r>
          <w:rPr>
            <w:color w:val="000000"/>
            <w:vertAlign w:val="superscript"/>
          </w:rPr>
          <w:t>39</w:t>
        </w:r>
      </w:hyperlink>
      <w:r>
        <w:t xml:space="preserve">, </w:t>
      </w:r>
      <w:hyperlink w:anchor="note_40">
        <w:r>
          <w:rPr>
            <w:color w:val="000000"/>
            <w:vertAlign w:val="superscript"/>
          </w:rPr>
          <w:t>40</w:t>
        </w:r>
      </w:hyperlink>
      <w:r/>
    </w:p>
    <w:p>
      <w:r>
        <w:t>ESSA’s statutory text supplies the actual provisions adopted in 2015. An agency’s favorable description of the law supplies the agency’s interpretation. Both are useful, but the description should not substitute for the law when a claim depends on a specific requirement.</w:t>
      </w:r>
      <w:hyperlink w:anchor="note_41">
        <w:r>
          <w:rPr>
            <w:color w:val="000000"/>
            <w:vertAlign w:val="superscript"/>
          </w:rPr>
          <w:t>41</w:t>
        </w:r>
      </w:hyperlink>
      <w:r/>
    </w:p>
    <w:p>
      <w:pPr>
        <w:pStyle w:val="Heading2"/>
      </w:pPr>
      <w:r>
        <w:t>Follow an idea through a purchase</w:t>
      </w:r>
    </w:p>
    <w:p>
      <w:r>
        <w:t>The financial trail begins with a defined decision. Which product or program did the institution choose? Who evaluated it? What alternatives were considered? Which criteria mattered? What did the contract require, and what did it leave to the vendor’s discretion?</w:t>
      </w:r>
    </w:p>
    <w:p>
      <w:r>
        <w:t>A grant may support a narrowly defined activity or establish conditions that influence a wider program. A textbook adoption can shape instruction for years. A digital subscription may change its content between the day of purchase and the day a child uses it. An investigation should preserve the version actually examined.</w:t>
      </w:r>
    </w:p>
    <w:p>
      <w:r>
        <w:t>Financial benefit can explain an incentive without proving misconduct. A publisher earning money from a textbook is an ordinary commercial fact. Undisclosed conflicts, misleading claims or interference with an independent evaluation require separate evidence. Treating every payment as corruption would make the analysis less discriminating precisely where genuine misconduct deserves attention.</w:t>
      </w:r>
    </w:p>
    <w:p>
      <w:pPr>
        <w:pStyle w:val="Heading2"/>
      </w:pPr>
      <w:r>
        <w:t>Authority is distributed</w:t>
      </w:r>
    </w:p>
    <w:p>
      <w:r>
        <w:t>A national organization may recommend a framework without having legal authority to compel its adoption. A state can set requirements that districts interpret differently. A school leader can alter scheduling without rewriting the formal curriculum. A teacher can add context or omit a lesson. These distinctions are essential to assigning responsibility fairly.</w:t>
      </w:r>
    </w:p>
    <w:p>
      <w:r>
        <w:t>The same distributed system can make accountability difficult. One actor chooses the product, another trains staff, another measures outcomes and a fourth answers complaints. A parent may be redirected among them while no one explains the whole decision. The investigative task is to identify which actor controlled each relevant step.</w:t>
      </w:r>
    </w:p>
    <w:p>
      <w:r>
        <w:t>That task becomes especially important when an institution describes a choice as mandatory. Ask mandatory under which statute, regulation, contract or local policy, and during which dates. A rule can change. A recommendation can be mistaken for a requirement. A vendor’s preference can become embedded in practice without formal approval.</w:t>
      </w:r>
    </w:p>
    <w:p>
      <w:pPr>
        <w:pStyle w:val="Heading2"/>
      </w:pPr>
      <w:r>
        <w:t>What changed and why it matters</w:t>
      </w:r>
    </w:p>
    <w:p>
      <w:pPr>
        <w:keepLines/>
      </w:pPr>
      <w:r>
        <w:t>Money influences what schools can adopt, but payment alone does not establish corruption. Contracts, selection criteria and implementation records connect authority to concrete decisions.</w:t>
      </w:r>
    </w:p>
    <w:p>
      <w:bookmarkStart w:id="1017" w:name="section_17"/>
      <w:pPr>
        <w:pStyle w:val="Heading1"/>
        <w:pageBreakBefore/>
      </w:pPr>
      <w:r>
        <w:t>Chapter 15 Adult misconduct and institutional accountability</w:t>
      </w:r>
      <w:bookmarkEnd w:id="1017"/>
    </w:p>
    <w:p>
      <w:pPr>
        <w:pStyle w:val="Heading2"/>
      </w:pPr>
      <w:r>
        <w:t>The child must remain visible</w:t>
      </w:r>
    </w:p>
    <w:p>
      <w:r>
        <w:t>This chapter discusses institutional failures and sexual misconduct without graphic descriptions. It does not diagnose offenders or survivors, and it does not attribute abuse to a political movement, religion, clothing style or teaching method without case-specific evidence. The object of investigation is conduct and the response of adults responsible for children’s safety.</w:t>
      </w:r>
    </w:p>
    <w:p>
      <w:r>
        <w:t>An institution can fail a child before any public scandal exists. A concern may be redirected, poorly recorded or treated as a threat to the school’s reputation. Determining what happened requires a timeline: what was reported, to whom, what that person knew, what duties applied and what action followed. Reputation cannot replace that chronology.</w:t>
      </w:r>
    </w:p>
    <w:p>
      <w:pPr>
        <w:pStyle w:val="Heading2"/>
      </w:pPr>
      <w:r>
        <w:t>What selected investigations can establish</w:t>
      </w:r>
    </w:p>
    <w:p>
      <w:r>
        <w:t>GAO’s 2010 investigation examined selected cases in which public or private schools hired or retained people with histories of sexual misconduct. It selected 15 cases in 11 states for further investigation and reviewed records including court documents and personnel files where possible. Those cases can illuminate failure mechanisms. They are not a representative estimate of misconduct across all schools.</w:t>
      </w:r>
      <w:hyperlink w:anchor="note_42">
        <w:r>
          <w:rPr>
            <w:color w:val="000000"/>
            <w:vertAlign w:val="superscript"/>
          </w:rPr>
          <w:t>42</w:t>
        </w:r>
      </w:hyperlink>
      <w:r/>
    </w:p>
    <w:p>
      <w:r>
        <w:t>GAO’s 2014 report identified variation in background checks, training and professional-boundary provisions. It also described how internal reporting policies could confuse staff about reporting to outside authorities. These findings make a specific institutional problem visible: a policy can appear protective while failing to communicate the action needed when a child is at risk.</w:t>
      </w:r>
      <w:hyperlink w:anchor="note_43">
        <w:r>
          <w:rPr>
            <w:color w:val="000000"/>
            <w:vertAlign w:val="superscript"/>
          </w:rPr>
          <w:t>43</w:t>
        </w:r>
      </w:hyperlink>
      <w:r/>
    </w:p>
    <w:p>
      <w:r>
        <w:t>In January 2026, GAO reported gaps in the oversight of JROTC programs, including unclear reporting information for students and inconsistent instructor training on Title IX. Its work included visits to 11 high schools in four states. This is evidence of problems identified in that review; it should not be generalized into a finding about every instructor or military-affiliated program.</w:t>
      </w:r>
      <w:hyperlink w:anchor="note_44">
        <w:r>
          <w:rPr>
            <w:color w:val="000000"/>
            <w:vertAlign w:val="superscript"/>
          </w:rPr>
          <w:t>44</w:t>
        </w:r>
      </w:hyperlink>
      <w:r/>
    </w:p>
    <w:p>
      <w:pPr>
        <w:pStyle w:val="Heading2"/>
      </w:pPr>
      <w:r>
        <w:t>What the three oversight records reveal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Record</w:t>
            </w:r>
          </w:p>
        </w:tc>
        <w:tc>
          <w:tcPr>
            <w:tcW w:type="dxa" w:w="3816"/>
            <w:vAlign w:val="center"/>
            <w:shd w:fill="243746"/>
          </w:tcPr>
          <w:p>
            <w:pPr>
              <w:spacing w:after="20" w:line="254" w:lineRule="auto"/>
            </w:pPr>
            <w:r>
              <w:rPr>
                <w:b/>
                <w:color w:val="FFFFFF"/>
                <w:sz w:val="24"/>
              </w:rPr>
              <w:t>What investigators examined</w:t>
            </w:r>
          </w:p>
        </w:tc>
        <w:tc>
          <w:tcPr>
            <w:tcW w:type="dxa" w:w="3874"/>
            <w:vAlign w:val="center"/>
            <w:shd w:fill="243746"/>
          </w:tcPr>
          <w:p>
            <w:pPr>
              <w:spacing w:after="20" w:line="254" w:lineRule="auto"/>
            </w:pPr>
            <w:r>
              <w:rPr>
                <w:b/>
                <w:color w:val="FFFFFF"/>
                <w:sz w:val="24"/>
              </w:rPr>
              <w:t>What the evidence establishes</w:t>
            </w:r>
          </w:p>
        </w:tc>
      </w:tr>
      <w:tr>
        <w:trPr>
          <w:cantSplit/>
        </w:trPr>
        <w:tc>
          <w:tcPr>
            <w:tcW w:type="dxa" w:w="2304"/>
            <w:vAlign w:val="center"/>
            <w:shd w:fill="FFFFFF"/>
          </w:tcPr>
          <w:p>
            <w:pPr>
              <w:spacing w:after="20" w:line="254" w:lineRule="auto"/>
            </w:pPr>
            <w:r>
              <w:rPr>
                <w:b w:val="0"/>
                <w:color w:val="000000"/>
                <w:sz w:val="24"/>
              </w:rPr>
              <w:t>GAO in 2010</w:t>
            </w:r>
          </w:p>
        </w:tc>
        <w:tc>
          <w:tcPr>
            <w:tcW w:type="dxa" w:w="3816"/>
            <w:vAlign w:val="center"/>
            <w:shd w:fill="FFFFFF"/>
          </w:tcPr>
          <w:p>
            <w:pPr>
              <w:spacing w:after="20" w:line="254" w:lineRule="auto"/>
            </w:pPr>
            <w:r>
              <w:rPr>
                <w:b w:val="0"/>
                <w:color w:val="000000"/>
                <w:sz w:val="24"/>
              </w:rPr>
              <w:t>Fifteen selected cases in eleven states</w:t>
            </w:r>
          </w:p>
        </w:tc>
        <w:tc>
          <w:tcPr>
            <w:tcW w:type="dxa" w:w="3874"/>
            <w:vAlign w:val="center"/>
            <w:shd w:fill="FFFFFF"/>
          </w:tcPr>
          <w:p>
            <w:pPr>
              <w:spacing w:after="20" w:line="254" w:lineRule="auto"/>
            </w:pPr>
            <w:r>
              <w:rPr>
                <w:b w:val="0"/>
                <w:color w:val="000000"/>
                <w:sz w:val="24"/>
              </w:rPr>
              <w:t>Mechanisms by which hiring or retention controls failed</w:t>
            </w:r>
          </w:p>
        </w:tc>
      </w:tr>
      <w:tr>
        <w:trPr>
          <w:cantSplit/>
        </w:trPr>
        <w:tc>
          <w:tcPr>
            <w:tcW w:type="dxa" w:w="2304"/>
            <w:vAlign w:val="center"/>
            <w:shd w:fill="F2F5F6"/>
          </w:tcPr>
          <w:p>
            <w:pPr>
              <w:spacing w:after="20" w:line="254" w:lineRule="auto"/>
            </w:pPr>
            <w:r>
              <w:rPr>
                <w:b w:val="0"/>
                <w:color w:val="000000"/>
                <w:sz w:val="24"/>
              </w:rPr>
              <w:t>GAO in 2014</w:t>
            </w:r>
          </w:p>
        </w:tc>
        <w:tc>
          <w:tcPr>
            <w:tcW w:type="dxa" w:w="3816"/>
            <w:vAlign w:val="center"/>
            <w:shd w:fill="F2F5F6"/>
          </w:tcPr>
          <w:p>
            <w:pPr>
              <w:spacing w:after="20" w:line="254" w:lineRule="auto"/>
            </w:pPr>
            <w:r>
              <w:rPr>
                <w:b w:val="0"/>
                <w:color w:val="000000"/>
                <w:sz w:val="24"/>
              </w:rPr>
              <w:t>Prevention and response practices</w:t>
            </w:r>
          </w:p>
        </w:tc>
        <w:tc>
          <w:tcPr>
            <w:tcW w:type="dxa" w:w="3874"/>
            <w:vAlign w:val="center"/>
            <w:shd w:fill="F2F5F6"/>
          </w:tcPr>
          <w:p>
            <w:pPr>
              <w:spacing w:after="20" w:line="254" w:lineRule="auto"/>
            </w:pPr>
            <w:r>
              <w:rPr>
                <w:b w:val="0"/>
                <w:color w:val="000000"/>
                <w:sz w:val="24"/>
              </w:rPr>
              <w:t>Gaps and variation in checks, training and reporting arrangements</w:t>
            </w:r>
          </w:p>
        </w:tc>
      </w:tr>
      <w:tr>
        <w:trPr>
          <w:cantSplit/>
        </w:trPr>
        <w:tc>
          <w:tcPr>
            <w:tcW w:type="dxa" w:w="2304"/>
            <w:vAlign w:val="center"/>
            <w:shd w:fill="FFFFFF"/>
          </w:tcPr>
          <w:p>
            <w:pPr>
              <w:spacing w:after="20" w:line="254" w:lineRule="auto"/>
            </w:pPr>
            <w:r>
              <w:rPr>
                <w:b w:val="0"/>
                <w:color w:val="000000"/>
                <w:sz w:val="24"/>
              </w:rPr>
              <w:t>GAO in 2026</w:t>
            </w:r>
          </w:p>
        </w:tc>
        <w:tc>
          <w:tcPr>
            <w:tcW w:type="dxa" w:w="3816"/>
            <w:vAlign w:val="center"/>
            <w:shd w:fill="FFFFFF"/>
          </w:tcPr>
          <w:p>
            <w:pPr>
              <w:spacing w:after="20" w:line="254" w:lineRule="auto"/>
            </w:pPr>
            <w:r>
              <w:rPr>
                <w:b w:val="0"/>
                <w:color w:val="000000"/>
                <w:sz w:val="24"/>
              </w:rPr>
              <w:t>JROTC oversight, including visits to eleven schools</w:t>
            </w:r>
          </w:p>
        </w:tc>
        <w:tc>
          <w:tcPr>
            <w:tcW w:type="dxa" w:w="3874"/>
            <w:vAlign w:val="center"/>
            <w:shd w:fill="FFFFFF"/>
          </w:tcPr>
          <w:p>
            <w:pPr>
              <w:spacing w:after="20" w:line="254" w:lineRule="auto"/>
            </w:pPr>
            <w:r>
              <w:rPr>
                <w:b w:val="0"/>
                <w:color w:val="000000"/>
                <w:sz w:val="24"/>
              </w:rPr>
              <w:t>Reporting-information and training gaps in the reviewed settings</w:t>
            </w:r>
          </w:p>
        </w:tc>
      </w:tr>
    </w:tbl>
    <w:p>
      <w:pPr>
        <w:spacing w:after="40"/>
      </w:pPr>
    </w:p>
    <w:p>
      <w:r>
        <w:t>The continuity across these records is an accountability problem: institutions need reliable ways to receive, preserve and act on information. This is a comparison of oversight findings, not a national prevalence trend. The surveys, case selections and institutional settings differ.</w:t>
      </w:r>
    </w:p>
    <w:p>
      <w:r>
        <w:t>For a child, the distinction between an internal procedure and an effective response is consequential. A concern may be recorded without reaching the person empowered to act. The historical record deserves scrutiny at that handoff, where responsibility can become blurred despite apparently clear institutional promises.</w:t>
      </w:r>
    </w:p>
    <w:p>
      <w:pPr>
        <w:pStyle w:val="Heading2"/>
      </w:pPr>
      <w:r>
        <w:t>More reports do not answer the whole historical question</w:t>
      </w:r>
    </w:p>
    <w:p>
      <w:r>
        <w:t>A count of recorded allegations depends on what conduct is included, whether people can report it and whether institutions preserve the report. A change in any of those conditions can change the count. That is why a rising number cannot, by itself, establish a rising underlying incidence.</w:t>
      </w:r>
    </w:p>
    <w:p>
      <w:r>
        <w:t>The distinctions within the records matter just as much. An allegation, an administrative finding, a criminal charge and a conviction are different events. A case can reach one stage and not another for reasons that need examination. The book should identify the actual status and the date it was checked.</w:t>
      </w:r>
    </w:p>
    <w:p>
      <w:r>
        <w:t>This edition does not claim a comparable national hundred-year rate of educator sexual abuse. The available sources used here do not establish one. It instead documents selected failures of institutional protection and explains what additional evidence would be required to make a sound trend claim.</w:t>
      </w:r>
    </w:p>
    <w:p>
      <w:pPr>
        <w:pStyle w:val="Heading2"/>
      </w:pPr>
      <w:r>
        <w:t>A useful model of institutional failure</w:t>
      </w:r>
    </w:p>
    <w:p>
      <w:r>
        <w:t>The recurring questions are practical. Did adults have clear boundaries? Could a child reach someone outside the immediate chain of authority? Were concerns retained and compared over time? Did hiring and transfer decisions account for substantiated information? Did the institution respond to warning information before a further harm occurred?</w:t>
      </w:r>
    </w:p>
    <w:p>
      <w:r>
        <w:t>These questions should not become a behavioral profile that labels an adult dangerous on the basis of friendliness, personality or a single ambiguous interaction. Concern requires attention to specific conduct and context. A safety measure can be justified without claiming a clinical diagnosis or pretending to predict an individual’s future acts.</w:t>
      </w:r>
    </w:p>
    <w:p>
      <w:r>
        <w:t>For reporting, interviews should avoid unnecessary repetition of traumatic details and preserve the survivor’s control over participation. The author should explain how an account may be used, protect identifying information where appropriate and avoid making disclosure a condition of being believed or treated respectfully. Those are editorial commitments for this project, not claims that a particular survivor will react in a predictable way.</w:t>
      </w:r>
    </w:p>
    <w:p>
      <w:pPr>
        <w:pStyle w:val="Heading2"/>
      </w:pPr>
      <w:r>
        <w:t>What accountability would look like in the record</w:t>
      </w:r>
    </w:p>
    <w:p>
      <w:r>
        <w:t>A responsible account follows beyond the first allegation. It asks what investigators determined, what the institution changed, whether affected people received support and whether the changes were independently checked. Announcing training is different from documenting attendance, comprehension and practical use.</w:t>
      </w:r>
    </w:p>
    <w:p>
      <w:r>
        <w:t>The historical lesson is that institutional prestige does not supply a safeguard. Neither does a policy’s reassuring title. A child’s protection depends on what people are authorized, prepared and willing to do when information becomes uncomfortable. That is the level at which the book will judge the evidence.</w:t>
      </w:r>
    </w:p>
    <w:p>
      <w:pPr>
        <w:pStyle w:val="Heading2"/>
      </w:pPr>
      <w:r>
        <w:t>What changed and why it matters</w:t>
      </w:r>
    </w:p>
    <w:p>
      <w:pPr>
        <w:keepLines/>
      </w:pPr>
      <w:r>
        <w:t>The reviewed investigations document failures of protection and response. They do not establish a century-long national abuse rate. The human priority is whether information reaches people who act on it effectively.</w:t>
      </w:r>
    </w:p>
    <w:p>
      <w:bookmarkStart w:id="1018" w:name="section_18"/>
      <w:pPr>
        <w:pStyle w:val="Heading1"/>
        <w:pageBreakBefore/>
      </w:pPr>
      <w:r>
        <w:t>Chapter 16 Technology and the classroom after disruption</w:t>
      </w:r>
      <w:bookmarkEnd w:id="1018"/>
    </w:p>
    <w:p>
      <w:pPr>
        <w:pStyle w:val="Heading2"/>
      </w:pPr>
      <w:r>
        <w:t>A new medium changes the record</w:t>
      </w:r>
    </w:p>
    <w:p>
      <w:r>
        <w:t>A printed textbook normally preserves a stable edition. A digital platform may change between uses. That difference affects both education and the historian’s ability to reconstruct it. A screenshot needs a date and context. A product name alone may no longer identify the content a student saw.</w:t>
      </w:r>
    </w:p>
    <w:p>
      <w:r>
        <w:t>Technology can make materials more accessible and create new dependencies. A device can provide a useful tool while an unreliable connection limits participation. A platform can offer rapid feedback while collecting information that families do not fully understand. Evaluating these choices requires attention to the actual task, contract and experience.</w:t>
      </w:r>
    </w:p>
    <w:p>
      <w:r>
        <w:t>The 2024 National Educational Technology Plan distinguished digital access, design and use divides. Its structure recognized that supplying a device is different from designing sound learning experiences or using technology well. It is a policy plan, not proof that those problems were resolved.</w:t>
      </w:r>
      <w:hyperlink w:anchor="note_45">
        <w:r>
          <w:rPr>
            <w:color w:val="000000"/>
            <w:vertAlign w:val="superscript"/>
          </w:rPr>
          <w:t>45</w:t>
        </w:r>
      </w:hyperlink>
      <w:r/>
    </w:p>
    <w:p>
      <w:pPr>
        <w:pStyle w:val="Heading2"/>
      </w:pPr>
      <w:r>
        <w:t>The pandemic as an interruption with unequal conditions</w:t>
      </w:r>
    </w:p>
    <w:p>
      <w:r>
        <w:t>GAO’s 2022 work on pandemic learning reported less academic progress overall and strain on students and teachers, drawing on surveys and other evidence. Such reports help document the disruption. Teacher reports and family experiences remain different from a controlled estimate of the effect of any one closure policy.</w:t>
      </w:r>
      <w:hyperlink w:anchor="note_46">
        <w:r>
          <w:rPr>
            <w:color w:val="000000"/>
            <w:vertAlign w:val="superscript"/>
          </w:rPr>
          <w:t>46</w:t>
        </w:r>
      </w:hyperlink>
      <w:r/>
    </w:p>
    <w:p>
      <w:r>
        <w:t>A careful account should record the dates and forms of instruction rather than treating “remote learning” as one uniform experience. Live instruction, independent assignments and intermittent contact can all receive that label. The availability of a quiet workspace, adult assistance and appropriate materials can also differ substantially.</w:t>
      </w:r>
    </w:p>
    <w:p>
      <w:r>
        <w:t>The consequences should be measured separately where possible: academic progress, attendance, access to services and family burden. Combining them into one score would make the history look simpler while reducing its explanatory value. The same student may have gained flexibility in one respect and lost support in another.</w:t>
      </w:r>
    </w:p>
    <w:p>
      <w:pPr>
        <w:pStyle w:val="Heading2"/>
      </w:pPr>
      <w:r>
        <w:t>Automation changes what an assignment can prove</w:t>
      </w:r>
    </w:p>
    <w:p>
      <w:r>
        <w:t>The arrival of widely accessible generative tools creates a new interpretive problem for student work. A polished essay may no longer provide sufficient evidence of the student’s unaided writing process. That observation does not establish that every use of a tool is dishonest or educationally harmful. It requires a clearer account of the skill being assessed and the assistance allowed.</w:t>
      </w:r>
    </w:p>
    <w:p>
      <w:r>
        <w:t>As a proposed response, an institution can ask students to explain their reasoning, show revisions and distinguish their own work from permitted assistance. A project can assess the ability to evaluate an automated answer rather than merely produce one. These are design proposals in this edition, not claims of proven nationwide effectiveness.</w:t>
      </w:r>
    </w:p>
    <w:p>
      <w:r>
        <w:t>The book applies the same principle to its own production. A fluent narrative must remain traceable to sources. Automated assistance does not turn a plausible sentence into a verified historical claim. The documentary record, rather than the confidence of the prose, carries the argument.</w:t>
      </w:r>
    </w:p>
    <w:p>
      <w:pPr>
        <w:pStyle w:val="Heading2"/>
      </w:pPr>
      <w:r>
        <w:t>The questions behind a digital purchase</w:t>
      </w:r>
    </w:p>
    <w:p>
      <w:r>
        <w:t>Who can alter the content? What records of versions remain? What student information is collected? Can families inspect the instructional material? Can the school continue essential work if the service becomes unavailable? Those questions concern institutional control as much as classroom convenience.</w:t>
      </w:r>
    </w:p>
    <w:p>
      <w:r>
        <w:t>A historical account of technology should also preserve the alternatives. What was replaced, what was retained and what could no longer be done? A school may gain immediate feedback while losing a durable record of the assignment. A useful tool may impose costs that appear only after a contract renewal. The evaluation should examine the whole arrangement.</w:t>
      </w:r>
    </w:p>
    <w:p>
      <w:pPr>
        <w:pStyle w:val="Heading2"/>
      </w:pPr>
      <w:r>
        <w:t>The comparison must stay educational</w:t>
      </w:r>
    </w:p>
    <w:p>
      <w:r>
        <w:t>The presence of advanced technology is a weak measure of educational quality. The relevant question is whether students develop the intended knowledge and skills under conditions that are understandable and accountable. A future technology volume can trace the devices and industries in greater depth. This volume keeps the focus on what the tool changes in the child’s education.</w:t>
      </w:r>
    </w:p>
    <w:p>
      <w:pPr>
        <w:pStyle w:val="Heading2"/>
      </w:pPr>
      <w:r>
        <w:t>What changed and why it matters</w:t>
      </w:r>
    </w:p>
    <w:p>
      <w:pPr>
        <w:keepLines/>
      </w:pPr>
      <w:r>
        <w:t>Digital tools change both learning and the record of what was taught. Their value depends on accessible instruction, understandable decisions and evidence of the student’s own understanding.</w:t>
      </w:r>
    </w:p>
    <w:p>
      <w:bookmarkStart w:id="1019" w:name="section_19"/>
      <w:pPr>
        <w:pStyle w:val="Heading1"/>
        <w:pageBreakBefore/>
      </w:pPr>
      <w:r>
        <w:t>Chapter 17 What the numbers can and cannot tell us</w:t>
      </w:r>
      <w:bookmarkEnd w:id="1019"/>
    </w:p>
    <w:p>
      <w:pPr>
        <w:pStyle w:val="Heading2"/>
      </w:pPr>
      <w:r>
        <w:t>A century requires more than two snapshots</w:t>
      </w:r>
    </w:p>
    <w:p>
      <w:r>
        <w:t>It is tempting to compare an old examination with a recent headline and call the distance a trend. A trend requires comparable observations. If the population, test or definition changes, the comparison needs adjustment or a clear limit on interpretation.</w:t>
      </w:r>
    </w:p>
    <w:p>
      <w:r>
        <w:t>NCES’s historical discussion of literacy explains that earlier census measures and later approaches differed. That history warns against treating “literacy” as a single unchanged national measurement extending across every decade. The word can remain stable while the threshold and method change.</w:t>
      </w:r>
      <w:hyperlink w:anchor="note_47">
        <w:r>
          <w:rPr>
            <w:color w:val="000000"/>
            <w:vertAlign w:val="superscript"/>
          </w:rPr>
          <w:t>47</w:t>
        </w:r>
      </w:hyperlink>
      <w:r/>
    </w:p>
    <w:p>
      <w:r>
        <w:t>Graduation, enrollment and test performance also answer different questions. Enrollment concerns participation. Graduation concerns completion under a set of requirements. A test measures selected abilities under specified conditions. A system can improve one while struggling with another.</w:t>
      </w:r>
    </w:p>
    <w:p>
      <w:pPr>
        <w:pStyle w:val="Heading2"/>
      </w:pPr>
      <w:r>
        <w:t>One long view that can be quantified</w:t>
      </w:r>
    </w:p>
    <w:p>
      <w:r>
        <w:t>NCES’s historical attainment table reports that 24.5 percent of people age 25 and older reported four or more years of high school in 1940. Its 2020 figure is 90.9 percent. These figures describe the adult population’s educational attainment, not an annual graduation rate for a particular school cohort.</w:t>
      </w:r>
      <w:hyperlink w:anchor="note_48">
        <w:r>
          <w:rPr>
            <w:color w:val="000000"/>
            <w:vertAlign w:val="superscript"/>
          </w:rPr>
          <w:t>48</w:t>
        </w:r>
      </w:hyperlink>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4997"/>
        <w:gridCol w:w="4997"/>
      </w:tblGrid>
      <w:tr>
        <w:trPr>
          <w:cantSplit/>
          <w:tblHeader/>
        </w:trPr>
        <w:tc>
          <w:tcPr>
            <w:tcW w:type="dxa" w:w="4997"/>
            <w:vAlign w:val="center"/>
            <w:shd w:fill="243746"/>
          </w:tcPr>
          <w:p>
            <w:pPr>
              <w:spacing w:after="20" w:line="254" w:lineRule="auto"/>
            </w:pPr>
            <w:r>
              <w:rPr>
                <w:b/>
                <w:color w:val="FFFFFF"/>
                <w:sz w:val="24"/>
              </w:rPr>
              <w:t>Year</w:t>
            </w:r>
          </w:p>
        </w:tc>
        <w:tc>
          <w:tcPr>
            <w:tcW w:type="dxa" w:w="4997"/>
            <w:vAlign w:val="center"/>
            <w:shd w:fill="243746"/>
          </w:tcPr>
          <w:p>
            <w:pPr>
              <w:spacing w:after="20" w:line="254" w:lineRule="auto"/>
            </w:pPr>
            <w:r>
              <w:rPr>
                <w:b/>
                <w:color w:val="FFFFFF"/>
                <w:sz w:val="24"/>
              </w:rPr>
              <w:t>NCES reported high school attainment for adults age 25 and older</w:t>
            </w:r>
          </w:p>
        </w:tc>
      </w:tr>
      <w:tr>
        <w:trPr>
          <w:cantSplit/>
        </w:trPr>
        <w:tc>
          <w:tcPr>
            <w:tcW w:type="dxa" w:w="4997"/>
            <w:vAlign w:val="center"/>
            <w:shd w:fill="FFFFFF"/>
          </w:tcPr>
          <w:p>
            <w:pPr>
              <w:spacing w:after="20" w:line="254" w:lineRule="auto"/>
            </w:pPr>
            <w:r>
              <w:rPr>
                <w:b w:val="0"/>
                <w:color w:val="000000"/>
                <w:sz w:val="24"/>
              </w:rPr>
              <w:t>1940</w:t>
            </w:r>
          </w:p>
        </w:tc>
        <w:tc>
          <w:tcPr>
            <w:tcW w:type="dxa" w:w="4997"/>
            <w:vAlign w:val="center"/>
            <w:shd w:fill="FFFFFF"/>
          </w:tcPr>
          <w:p>
            <w:pPr>
              <w:spacing w:after="20" w:line="254" w:lineRule="auto"/>
            </w:pPr>
            <w:r>
              <w:rPr>
                <w:b w:val="0"/>
                <w:color w:val="000000"/>
                <w:sz w:val="24"/>
              </w:rPr>
              <w:t>24.5 percent</w:t>
            </w:r>
          </w:p>
        </w:tc>
      </w:tr>
      <w:tr>
        <w:trPr>
          <w:cantSplit/>
        </w:trPr>
        <w:tc>
          <w:tcPr>
            <w:tcW w:type="dxa" w:w="4997"/>
            <w:vAlign w:val="center"/>
            <w:shd w:fill="F2F5F6"/>
          </w:tcPr>
          <w:p>
            <w:pPr>
              <w:spacing w:after="20" w:line="254" w:lineRule="auto"/>
            </w:pPr>
            <w:r>
              <w:rPr>
                <w:b w:val="0"/>
                <w:color w:val="000000"/>
                <w:sz w:val="24"/>
              </w:rPr>
              <w:t>2020</w:t>
            </w:r>
          </w:p>
        </w:tc>
        <w:tc>
          <w:tcPr>
            <w:tcW w:type="dxa" w:w="4997"/>
            <w:vAlign w:val="center"/>
            <w:shd w:fill="F2F5F6"/>
          </w:tcPr>
          <w:p>
            <w:pPr>
              <w:spacing w:after="20" w:line="254" w:lineRule="auto"/>
            </w:pPr>
            <w:r>
              <w:rPr>
                <w:b w:val="0"/>
                <w:color w:val="000000"/>
                <w:sz w:val="24"/>
              </w:rPr>
              <w:t>90.9 percent</w:t>
            </w:r>
          </w:p>
        </w:tc>
      </w:tr>
    </w:tbl>
    <w:p>
      <w:pPr>
        <w:spacing w:after="40"/>
      </w:pPr>
    </w:p>
    <w:p>
      <w:r>
        <w:t>Before 1992, the series counts four or more years of high school; later years count diploma or equivalency completers. The population excludes institutional residents. NCES also cautions that pandemic conditions affected interviewing and response rates in 2020. These differences belong beside the numbers. The comparison is not a fixed-standard test of academic skill.</w:t>
      </w:r>
    </w:p>
    <w:p>
      <w:r>
        <w:t>Even with that limitation, the expansion in attainment is too important to leave out of a century’s history. A system educating a much larger share of the population faces a different institutional task. That observation does not excuse weak instruction. It explains why the reach of schooling and the performance of students need separate measures.</w:t>
      </w:r>
    </w:p>
    <w:p>
      <w:r>
        <w:t>The next comparison concerns reading and mathematics on specified assessments. Both kinds of evidence belong in the book. More people can hold credentials while a recent cohort’s performance declines on a particular test. Neither fact cancels the other.</w:t>
      </w:r>
    </w:p>
    <w:p>
      <w:pPr>
        <w:pStyle w:val="Heading2"/>
      </w:pPr>
      <w:r>
        <w:t>A recent result with a clear boundary</w:t>
      </w:r>
    </w:p>
    <w:p>
      <w:r>
        <w:t>The 2024 NAEP fourth-grade reading average was 2 points below 2022 and 5 points below 2019. The official results also reported that 31 percent of fourth-graders performed at or above NAEP Proficient. NAEP explicitly cautions that its Proficient category is not equivalent to grade-level proficiency as defined by other assessment systems.</w:t>
      </w:r>
      <w:hyperlink w:anchor="note_49">
        <w:r>
          <w:rPr>
            <w:color w:val="000000"/>
            <w:vertAlign w:val="superscript"/>
          </w:rPr>
          <w:t>49</w:t>
        </w:r>
      </w:hyperlink>
      <w:r/>
    </w:p>
    <w:p>
      <w:r>
        <w:t>That caution is essential. It would be inaccurate to convert the remaining percentage into a claim that those children cannot read. The result is still consequential: a decline on a defined measure deserves investigation and response. Accuracy makes the concern more usable, not less serious.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Measure</w:t>
            </w:r>
          </w:p>
        </w:tc>
        <w:tc>
          <w:tcPr>
            <w:tcW w:type="dxa" w:w="3816"/>
            <w:vAlign w:val="center"/>
            <w:shd w:fill="243746"/>
          </w:tcPr>
          <w:p>
            <w:pPr>
              <w:spacing w:after="20" w:line="254" w:lineRule="auto"/>
            </w:pPr>
            <w:r>
              <w:rPr>
                <w:b/>
                <w:color w:val="FFFFFF"/>
                <w:sz w:val="24"/>
              </w:rPr>
              <w:t>What it can describe</w:t>
            </w:r>
          </w:p>
        </w:tc>
        <w:tc>
          <w:tcPr>
            <w:tcW w:type="dxa" w:w="3874"/>
            <w:vAlign w:val="center"/>
            <w:shd w:fill="243746"/>
          </w:tcPr>
          <w:p>
            <w:pPr>
              <w:spacing w:after="20" w:line="254" w:lineRule="auto"/>
            </w:pPr>
            <w:r>
              <w:rPr>
                <w:b/>
                <w:color w:val="FFFFFF"/>
                <w:sz w:val="24"/>
              </w:rPr>
              <w:t>What it does not establish alone</w:t>
            </w:r>
          </w:p>
        </w:tc>
      </w:tr>
      <w:tr>
        <w:trPr>
          <w:cantSplit/>
        </w:trPr>
        <w:tc>
          <w:tcPr>
            <w:tcW w:type="dxa" w:w="2304"/>
            <w:vAlign w:val="center"/>
            <w:shd w:fill="FFFFFF"/>
          </w:tcPr>
          <w:p>
            <w:pPr>
              <w:spacing w:after="20" w:line="254" w:lineRule="auto"/>
            </w:pPr>
            <w:r>
              <w:rPr>
                <w:b w:val="0"/>
                <w:color w:val="000000"/>
                <w:sz w:val="24"/>
              </w:rPr>
              <w:t>Enrollment</w:t>
            </w:r>
          </w:p>
        </w:tc>
        <w:tc>
          <w:tcPr>
            <w:tcW w:type="dxa" w:w="3816"/>
            <w:vAlign w:val="center"/>
            <w:shd w:fill="FFFFFF"/>
          </w:tcPr>
          <w:p>
            <w:pPr>
              <w:spacing w:after="20" w:line="254" w:lineRule="auto"/>
            </w:pPr>
            <w:r>
              <w:rPr>
                <w:b w:val="0"/>
                <w:color w:val="000000"/>
                <w:sz w:val="24"/>
              </w:rPr>
              <w:t>Who participates in a defined setting</w:t>
            </w:r>
          </w:p>
        </w:tc>
        <w:tc>
          <w:tcPr>
            <w:tcW w:type="dxa" w:w="3874"/>
            <w:vAlign w:val="center"/>
            <w:shd w:fill="FFFFFF"/>
          </w:tcPr>
          <w:p>
            <w:pPr>
              <w:spacing w:after="20" w:line="254" w:lineRule="auto"/>
            </w:pPr>
            <w:r>
              <w:rPr>
                <w:b w:val="0"/>
                <w:color w:val="000000"/>
                <w:sz w:val="24"/>
              </w:rPr>
              <w:t>Instructional quality</w:t>
            </w:r>
          </w:p>
        </w:tc>
      </w:tr>
      <w:tr>
        <w:trPr>
          <w:cantSplit/>
        </w:trPr>
        <w:tc>
          <w:tcPr>
            <w:tcW w:type="dxa" w:w="2304"/>
            <w:vAlign w:val="center"/>
            <w:shd w:fill="F2F5F6"/>
          </w:tcPr>
          <w:p>
            <w:pPr>
              <w:spacing w:after="20" w:line="254" w:lineRule="auto"/>
            </w:pPr>
            <w:r>
              <w:rPr>
                <w:b w:val="0"/>
                <w:color w:val="000000"/>
                <w:sz w:val="24"/>
              </w:rPr>
              <w:t>Graduation</w:t>
            </w:r>
          </w:p>
        </w:tc>
        <w:tc>
          <w:tcPr>
            <w:tcW w:type="dxa" w:w="3816"/>
            <w:vAlign w:val="center"/>
            <w:shd w:fill="F2F5F6"/>
          </w:tcPr>
          <w:p>
            <w:pPr>
              <w:spacing w:after="20" w:line="254" w:lineRule="auto"/>
            </w:pPr>
            <w:r>
              <w:rPr>
                <w:b w:val="0"/>
                <w:color w:val="000000"/>
                <w:sz w:val="24"/>
              </w:rPr>
              <w:t>Completion under specified rules</w:t>
            </w:r>
          </w:p>
        </w:tc>
        <w:tc>
          <w:tcPr>
            <w:tcW w:type="dxa" w:w="3874"/>
            <w:vAlign w:val="center"/>
            <w:shd w:fill="F2F5F6"/>
          </w:tcPr>
          <w:p>
            <w:pPr>
              <w:spacing w:after="20" w:line="254" w:lineRule="auto"/>
            </w:pPr>
            <w:r>
              <w:rPr>
                <w:b w:val="0"/>
                <w:color w:val="000000"/>
                <w:sz w:val="24"/>
              </w:rPr>
              <w:t>Mastery of every promised skill</w:t>
            </w:r>
          </w:p>
        </w:tc>
      </w:tr>
      <w:tr>
        <w:trPr>
          <w:cantSplit/>
        </w:trPr>
        <w:tc>
          <w:tcPr>
            <w:tcW w:type="dxa" w:w="2304"/>
            <w:vAlign w:val="center"/>
            <w:shd w:fill="FFFFFF"/>
          </w:tcPr>
          <w:p>
            <w:pPr>
              <w:spacing w:after="20" w:line="254" w:lineRule="auto"/>
            </w:pPr>
            <w:r>
              <w:rPr>
                <w:b w:val="0"/>
                <w:color w:val="000000"/>
                <w:sz w:val="24"/>
              </w:rPr>
              <w:t>Test score</w:t>
            </w:r>
          </w:p>
        </w:tc>
        <w:tc>
          <w:tcPr>
            <w:tcW w:type="dxa" w:w="3816"/>
            <w:vAlign w:val="center"/>
            <w:shd w:fill="FFFFFF"/>
          </w:tcPr>
          <w:p>
            <w:pPr>
              <w:spacing w:after="20" w:line="254" w:lineRule="auto"/>
            </w:pPr>
            <w:r>
              <w:rPr>
                <w:b w:val="0"/>
                <w:color w:val="000000"/>
                <w:sz w:val="24"/>
              </w:rPr>
              <w:t>Performance on an identified assessment</w:t>
            </w:r>
          </w:p>
        </w:tc>
        <w:tc>
          <w:tcPr>
            <w:tcW w:type="dxa" w:w="3874"/>
            <w:vAlign w:val="center"/>
            <w:shd w:fill="FFFFFF"/>
          </w:tcPr>
          <w:p>
            <w:pPr>
              <w:spacing w:after="20" w:line="254" w:lineRule="auto"/>
            </w:pPr>
            <w:r>
              <w:rPr>
                <w:b w:val="0"/>
                <w:color w:val="000000"/>
                <w:sz w:val="24"/>
              </w:rPr>
              <w:t>The cause of that performance</w:t>
            </w:r>
          </w:p>
        </w:tc>
      </w:tr>
      <w:tr>
        <w:trPr>
          <w:cantSplit/>
        </w:trPr>
        <w:tc>
          <w:tcPr>
            <w:tcW w:type="dxa" w:w="2304"/>
            <w:vAlign w:val="center"/>
            <w:shd w:fill="F2F5F6"/>
          </w:tcPr>
          <w:p>
            <w:pPr>
              <w:spacing w:after="20" w:line="254" w:lineRule="auto"/>
            </w:pPr>
            <w:r>
              <w:rPr>
                <w:b w:val="0"/>
                <w:color w:val="000000"/>
                <w:sz w:val="24"/>
              </w:rPr>
              <w:t>Course title</w:t>
            </w:r>
          </w:p>
        </w:tc>
        <w:tc>
          <w:tcPr>
            <w:tcW w:type="dxa" w:w="3816"/>
            <w:vAlign w:val="center"/>
            <w:shd w:fill="F2F5F6"/>
          </w:tcPr>
          <w:p>
            <w:pPr>
              <w:spacing w:after="20" w:line="254" w:lineRule="auto"/>
            </w:pPr>
            <w:r>
              <w:rPr>
                <w:b w:val="0"/>
                <w:color w:val="000000"/>
                <w:sz w:val="24"/>
              </w:rPr>
              <w:t>Administrative classification</w:t>
            </w:r>
          </w:p>
        </w:tc>
        <w:tc>
          <w:tcPr>
            <w:tcW w:type="dxa" w:w="3874"/>
            <w:vAlign w:val="center"/>
            <w:shd w:fill="F2F5F6"/>
          </w:tcPr>
          <w:p>
            <w:pPr>
              <w:spacing w:after="20" w:line="254" w:lineRule="auto"/>
            </w:pPr>
            <w:r>
              <w:rPr>
                <w:b w:val="0"/>
                <w:color w:val="000000"/>
                <w:sz w:val="24"/>
              </w:rPr>
              <w:t>Actual instructional content</w:t>
            </w:r>
          </w:p>
        </w:tc>
      </w:tr>
      <w:tr>
        <w:trPr>
          <w:cantSplit/>
        </w:trPr>
        <w:tc>
          <w:tcPr>
            <w:tcW w:type="dxa" w:w="2304"/>
            <w:vAlign w:val="center"/>
            <w:shd w:fill="FFFFFF"/>
          </w:tcPr>
          <w:p>
            <w:pPr>
              <w:spacing w:after="20" w:line="254" w:lineRule="auto"/>
            </w:pPr>
            <w:r>
              <w:rPr>
                <w:b w:val="0"/>
                <w:color w:val="000000"/>
                <w:sz w:val="24"/>
              </w:rPr>
              <w:t>Complaint count</w:t>
            </w:r>
          </w:p>
        </w:tc>
        <w:tc>
          <w:tcPr>
            <w:tcW w:type="dxa" w:w="3816"/>
            <w:vAlign w:val="center"/>
            <w:shd w:fill="FFFFFF"/>
          </w:tcPr>
          <w:p>
            <w:pPr>
              <w:spacing w:after="20" w:line="254" w:lineRule="auto"/>
            </w:pPr>
            <w:r>
              <w:rPr>
                <w:b w:val="0"/>
                <w:color w:val="000000"/>
                <w:sz w:val="24"/>
              </w:rPr>
              <w:t>Recorded reports under a definition</w:t>
            </w:r>
          </w:p>
        </w:tc>
        <w:tc>
          <w:tcPr>
            <w:tcW w:type="dxa" w:w="3874"/>
            <w:vAlign w:val="center"/>
            <w:shd w:fill="FFFFFF"/>
          </w:tcPr>
          <w:p>
            <w:pPr>
              <w:spacing w:after="20" w:line="254" w:lineRule="auto"/>
            </w:pPr>
            <w:r>
              <w:rPr>
                <w:b w:val="0"/>
                <w:color w:val="000000"/>
                <w:sz w:val="24"/>
              </w:rPr>
              <w:t>The underlying incidence of all harm</w:t>
            </w:r>
          </w:p>
        </w:tc>
      </w:tr>
      <w:tr>
        <w:trPr>
          <w:cantSplit/>
        </w:trPr>
        <w:tc>
          <w:tcPr>
            <w:tcW w:type="dxa" w:w="2304"/>
            <w:vAlign w:val="center"/>
            <w:shd w:fill="F2F5F6"/>
          </w:tcPr>
          <w:p>
            <w:pPr>
              <w:spacing w:after="20" w:line="254" w:lineRule="auto"/>
            </w:pPr>
            <w:r>
              <w:rPr>
                <w:b w:val="0"/>
                <w:color w:val="000000"/>
                <w:sz w:val="24"/>
              </w:rPr>
              <w:t>Credential</w:t>
            </w:r>
          </w:p>
        </w:tc>
        <w:tc>
          <w:tcPr>
            <w:tcW w:type="dxa" w:w="3816"/>
            <w:vAlign w:val="center"/>
            <w:shd w:fill="F2F5F6"/>
          </w:tcPr>
          <w:p>
            <w:pPr>
              <w:spacing w:after="20" w:line="254" w:lineRule="auto"/>
            </w:pPr>
            <w:r>
              <w:rPr>
                <w:b w:val="0"/>
                <w:color w:val="000000"/>
                <w:sz w:val="24"/>
              </w:rPr>
              <w:t>Completion of a specified verification process</w:t>
            </w:r>
          </w:p>
        </w:tc>
        <w:tc>
          <w:tcPr>
            <w:tcW w:type="dxa" w:w="3874"/>
            <w:vAlign w:val="center"/>
            <w:shd w:fill="F2F5F6"/>
          </w:tcPr>
          <w:p>
            <w:pPr>
              <w:spacing w:after="20" w:line="254" w:lineRule="auto"/>
            </w:pPr>
            <w:r>
              <w:rPr>
                <w:b w:val="0"/>
                <w:color w:val="000000"/>
                <w:sz w:val="24"/>
              </w:rPr>
              <w:t>Competence beyond what was verified</w:t>
            </w:r>
          </w:p>
        </w:tc>
      </w:tr>
    </w:tbl>
    <w:p>
      <w:pPr>
        <w:spacing w:after="40"/>
      </w:pPr>
    </w:p>
    <w:p>
      <w:pPr>
        <w:pStyle w:val="Heading2"/>
      </w:pPr>
      <w:r>
        <w:t>Correlation is a starting point</w:t>
      </w:r>
    </w:p>
    <w:p>
      <w:r>
        <w:t>If a curriculum changed before scores fell, timing makes the curriculum a candidate explanation. It does not complete the explanation. Other changes may have occurred, the implementation may have varied and the measurement may have changed. A serious inquiry should seek evidence that distinguishes among these possibilities.</w:t>
      </w:r>
    </w:p>
    <w:p>
      <w:r>
        <w:t>One approach compares similar settings with different adoption dates. Another examines whether the change reached the students whose results are being discussed. A third looks for a plausible mechanism in classroom practice. These methods have their own limitations, but they ask a stronger question than whether two lines move together.</w:t>
      </w:r>
    </w:p>
    <w:p>
      <w:r>
        <w:t>A negative finding also matters. If places without the alleged influence show the same pattern, the proposed explanation may be incomplete. If a predicted effect does not appear where adoption is well documented, that deserves investigation. The book’s method deliberately preserves these cases so that its pattern does not become self-confirming.</w:t>
      </w:r>
    </w:p>
    <w:p>
      <w:pPr>
        <w:pStyle w:val="Heading2"/>
      </w:pPr>
      <w:r>
        <w:t>The missing children and the missing records</w:t>
      </w:r>
    </w:p>
    <w:p>
      <w:r>
        <w:t>Historical records survive unevenly. Well-funded institutions may preserve more documentation. A school under scrutiny may produce more reports than a comparable school whose problems remain hidden. Online access can make one jurisdiction appear unusually influential simply because its records are easier to search.</w:t>
      </w:r>
    </w:p>
    <w:p>
      <w:r>
        <w:t>The source catalog should therefore describe how material was found and what the collection excludes. It should distinguish a nationally representative source from an illustrative local record. Where sampling is absent, the narrative should resist phrases such as “schools everywhere” or “children in that era.”</w:t>
      </w:r>
    </w:p>
    <w:p>
      <w:pPr>
        <w:pStyle w:val="Heading2"/>
      </w:pPr>
      <w:r>
        <w:t>A standard for consequential claims</w:t>
      </w:r>
    </w:p>
    <w:p>
      <w:r>
        <w:t>The more consequential the claim, the more closely the evidence must match it. A national accusation needs evidence of national reach. An assertion of intent needs evidence about intent. A claim about harm needs an account of the harm and its connection to the action under examination. This is how a broad historical project can remain proportionate to what it actually knows.</w:t>
      </w:r>
    </w:p>
    <w:p>
      <w:pPr>
        <w:pStyle w:val="Heading2"/>
      </w:pPr>
      <w:r>
        <w:t>What changed and why it matters</w:t>
      </w:r>
    </w:p>
    <w:p>
      <w:pPr>
        <w:keepLines/>
      </w:pPr>
      <w:r>
        <w:t>Educational attainment expanded markedly, while recent assessments reveal specific weaknesses. Access, credentials and tested learning describe different outcomes and must remain visible together.</w:t>
      </w:r>
    </w:p>
    <w:p>
      <w:bookmarkStart w:id="1020" w:name="section_20"/>
      <w:pPr>
        <w:pStyle w:val="Heading1"/>
        <w:pageBreakBefore/>
      </w:pPr>
      <w:r>
        <w:t>Chapter 18 Arts languages and the parts of education that do not fit one score</w:t>
      </w:r>
      <w:bookmarkEnd w:id="1020"/>
    </w:p>
    <w:p>
      <w:pPr>
        <w:pStyle w:val="Heading2"/>
      </w:pPr>
      <w:r>
        <w:t>A complete education has several forms of expression</w:t>
      </w:r>
    </w:p>
    <w:p>
      <w:r>
        <w:t>Art, music, performance and language study belong in a history of education even when a national debate concentrates on reading and mathematics. Their place in the schedule reveals what an institution considers worth sustained attention. Their absence from a particular metric does not establish that they lack value.</w:t>
      </w:r>
    </w:p>
    <w:p>
      <w:r>
        <w:t>The comparison should begin with provision. Which courses were offered? Which students could enroll? What materials, instruments or fees were required? Was participation part of the regular day or dependent on an extracurricular arrangement? These questions distinguish a program’s public reputation from its practical availability.</w:t>
      </w:r>
    </w:p>
    <w:p>
      <w:r>
        <w:t>This edition does not supply a national century-long enrollment trend for every arts discipline. The necessary comparable series has not been assembled here. Instead, it includes these subjects in the framework so that a history organized around prominent policy controversies does not quietly omit them.</w:t>
      </w:r>
    </w:p>
    <w:p>
      <w:pPr>
        <w:pStyle w:val="Heading2"/>
      </w:pPr>
      <w:r>
        <w:t>A documented revision in arts education</w:t>
      </w:r>
    </w:p>
    <w:p>
      <w:r>
        <w:t>The National Coalition for Core Arts Standards released revised voluntary standards on June 4, 2014, twenty years after the earlier national standards. Its account identifies curriculum, instruction, assessment and teacher preparation among the areas the standards sought to influence. The framework encompasses dance, media arts, music, theater and visual arts.</w:t>
      </w:r>
      <w:hyperlink w:anchor="note_50">
        <w:r>
          <w:rPr>
            <w:color w:val="000000"/>
            <w:vertAlign w:val="superscript"/>
          </w:rPr>
          <w:t>50</w:t>
        </w:r>
      </w:hyperlink>
      <w:r/>
    </w:p>
    <w:p>
      <w:r>
        <w:t>The word voluntary matters. Publication creates a resource and an argument for change; it does not itself establish what a state or district adopted. This example nevertheless gives the arts a specific place in the century’s history of standard setting. Their educational purposes were being articulated and revised alongside debates about measured achievement in other subjects.</w:t>
      </w:r>
    </w:p>
    <w:p>
      <w:r>
        <w:t>For a student, an arts standard becomes tangible through the work it permits: creating something, refining it, explaining a choice and responding to another person’s work. Comparing those assignments can reveal changes that a recital photograph or a course title cannot.</w:t>
      </w:r>
    </w:p>
    <w:p>
      <w:pPr>
        <w:pStyle w:val="Heading2"/>
      </w:pPr>
      <w:r>
        <w:t>Language learning and the meaning of usefulness</w:t>
      </w:r>
    </w:p>
    <w:p>
      <w:r>
        <w:t>Foreign-language instruction can be justified through cultural understanding, intellectual study, communication, diplomacy or employment. A change in the rationale may alter which languages receive support and which students are encouraged to study them. The course’s purpose should be recorded alongside its name.</w:t>
      </w:r>
    </w:p>
    <w:p>
      <w:r>
        <w:t>The 1958 national-defense legislation included modern foreign languages among the fields it supported. That is a concrete example of national priorities affecting the value assigned to a subject. It does not explain every local language program or every later change in enrollment.</w:t>
      </w:r>
      <w:hyperlink w:anchor="note_51">
        <w:r>
          <w:rPr>
            <w:color w:val="000000"/>
            <w:vertAlign w:val="superscript"/>
          </w:rPr>
          <w:t>51</w:t>
        </w:r>
      </w:hyperlink>
      <w:r/>
    </w:p>
    <w:p>
      <w:r>
        <w:t>An investigation should also distinguish studying an additional language from receiving instruction in a language a student already uses at home. Those activities involve different educational questions. Treating them as one category can obscure both the learner’s existing knowledge and the institution’s objective.</w:t>
      </w:r>
    </w:p>
    <w:p>
      <w:pPr>
        <w:pStyle w:val="Heading2"/>
      </w:pPr>
      <w:r>
        <w:t>The evidence of artistic learning</w:t>
      </w:r>
    </w:p>
    <w:p>
      <w:r>
        <w:t>A performance demonstrates something real, but a polished production may conceal differences in access and instruction. Who was selected? Who received individual coaching? What did students learn who did not appear on stage? The questions resemble those asked of athletics: institutional prestige should not stand in for the experience of the wider student body.</w:t>
      </w:r>
    </w:p>
    <w:p>
      <w:r>
        <w:t>Student portfolios can preserve development over time. They also require context. A final work may include extensive adult help or collaboration. That is not necessarily a defect, but the record should identify what the work is intended to demonstrate. The same standard applies to a written essay or a laboratory project.</w:t>
      </w:r>
    </w:p>
    <w:p>
      <w:r>
        <w:t>For historical comparison, preserve the task, the available resources and the evaluation criteria. A drawing assignment emphasizing imitation differs from one emphasizing observation or experimentation. The comparison should describe that difference before ranking the results.</w:t>
      </w:r>
    </w:p>
    <w:p>
      <w:pPr>
        <w:pStyle w:val="Heading2"/>
      </w:pPr>
      <w:r>
        <w:t>What gets crowded out</w:t>
      </w:r>
    </w:p>
    <w:p>
      <w:r>
        <w:t>Every schedule embodies a tradeoff. Adding a subject, test or required activity uses time that might otherwise serve another purpose. The result may be justified, but the tradeoff should be visible. An institution cannot establish that a reform had no cost merely by describing its intended benefit.</w:t>
      </w:r>
    </w:p>
    <w:p>
      <w:r>
        <w:t>The series’ method therefore includes a displacement question: what received less time, money or attention after the change? That question is particularly useful for subjects whose losses may not immediately appear in headline measures. It allows a fuller account of educational priorities without inventing a numerical value for every worthwhile experience.</w:t>
      </w:r>
    </w:p>
    <w:p>
      <w:pPr>
        <w:pStyle w:val="Heading2"/>
      </w:pPr>
      <w:r>
        <w:t>What changed and why it matters</w:t>
      </w:r>
    </w:p>
    <w:p>
      <w:pPr>
        <w:keepLines/>
      </w:pPr>
      <w:r>
        <w:t>Arts standards and language priorities show educational purposes beyond a single test score. A complete account follows who could participate and what students had the opportunity to create and understand.</w:t>
      </w:r>
    </w:p>
    <w:p>
      <w:bookmarkStart w:id="1021" w:name="section_21"/>
      <w:pPr>
        <w:pStyle w:val="Heading1"/>
        <w:pageBreakBefore/>
      </w:pPr>
      <w:r>
        <w:t>Chapter 19 The recurring method for tracing influence</w:t>
      </w:r>
      <w:bookmarkEnd w:id="1021"/>
    </w:p>
    <w:p>
      <w:pPr>
        <w:pStyle w:val="Heading2"/>
      </w:pPr>
      <w:r>
        <w:t>A living method rather than a hidden score</w:t>
      </w:r>
    </w:p>
    <w:p>
      <w:r>
        <w:t>The book’s recurring method is designed to make reasoning inspectable. It does not assign people an ideological risk score or claim to predict social change through a validated algorithm. It is a structured way to compare records, test explanations and preserve uncertainty.</w:t>
      </w:r>
    </w:p>
    <w:p>
      <w:r>
        <w:t>Each change record contains a specific claim, a time and place, the evidence for the earlier condition, the evidence for the later condition and a proposed explanation. Additional fields identify advocates, decision-makers, funding, adoption and outcomes. The record also preserves contradictory evidence and the next piece of information needed.</w:t>
      </w:r>
    </w:p>
    <w:p>
      <w:r>
        <w:t>The structure matters because an attractive pattern can become persuasive before its weakest link is noticed. A record with separate fields makes that weakness visible. It permits the finding “documented naming change” without automatically adding “documented ideological takeover.”</w:t>
      </w:r>
    </w:p>
    <w:p>
      <w:pPr>
        <w:pStyle w:val="Heading2"/>
      </w:pPr>
      <w:r>
        <w:t>The eight questions</w:t>
      </w:r>
    </w:p>
    <w:p>
      <w:r>
        <w:t>1. What changed in language, content, practice or authority?</w:t>
      </w:r>
    </w:p>
    <w:p>
      <w:r>
        <w:t>2. When and where did the change occur, and how widely was it adopted?</w:t>
      </w:r>
    </w:p>
    <w:p>
      <w:r>
        <w:t>3. Who promoted, funded, implemented or opposed it?</w:t>
      </w:r>
    </w:p>
    <w:p>
      <w:r>
        <w:t>4. What purposes did those actors state, and what other intentions are independently documented?</w:t>
      </w:r>
    </w:p>
    <w:p>
      <w:r>
        <w:t>5. Through what mechanism did the proposal enter practice?</w:t>
      </w:r>
    </w:p>
    <w:p>
      <w:r>
        <w:t>6. What outcomes followed, for whom and under which measurements?</w:t>
      </w:r>
    </w:p>
    <w:p>
      <w:r>
        <w:t>7. What competing explanation or contrary case could weaken the proposed account?</w:t>
      </w:r>
    </w:p>
    <w:p>
      <w:r>
        <w:t>8. What conclusion is warranted now, and what remains unresolved?</w:t>
      </w:r>
    </w:p>
    <w:p>
      <w:pPr>
        <w:pStyle w:val="Heading2"/>
      </w:pPr>
      <w:r>
        <w:t>A complete worked record</w:t>
      </w:r>
    </w:p>
    <w:p>
      <w:r>
        <w:t>Claim EDU-003 concerns the adoption of family and consumer sciences terminology in 1994. The earlier and later labels are identifiable. The professional association provides a stated rationale. That supports a documented professional naming change. It does not prove a nationwide disappearance of cooking or sewing instruction.</w:t>
      </w:r>
    </w:p>
    <w:p>
      <w:r>
        <w:t>The proposed mechanism is professional redefinition: an organization sought language that expressed a broader field. The next evidence needed for a local classroom claim would be a school’s course catalogs, schedules and materials across the change. The result could show continuity, expansion, reduction or variation among schools.</w:t>
      </w:r>
    </w:p>
    <w:p>
      <w:r>
        <w:t>The record can therefore grow without changing the rules of the inquiry. A new catalog may establish adoption. A new timetable may establish hours. Student work may establish the tasks offered. Each addition answers a distinct question. The method is living because new evidence can change the conclusion, including by weakening a favored explanation.</w:t>
      </w:r>
    </w:p>
    <w:p>
      <w:pPr>
        <w:pStyle w:val="Heading2"/>
      </w:pPr>
      <w:r>
        <w:t>Following a change through the book</w:t>
      </w:r>
    </w:p>
    <w:p>
      <w:r>
        <w:t>The living algorithm is a sequence the reader can use without software. Begin with an observable difference. Locate the decision that could have produced it. Check whether the decision reached the institution in question. Then ask what changed for the people affected. At each step, keep a place for evidence that points elsewhere.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Stage</w:t>
            </w:r>
          </w:p>
        </w:tc>
        <w:tc>
          <w:tcPr>
            <w:tcW w:type="dxa" w:w="3816"/>
            <w:vAlign w:val="center"/>
            <w:shd w:fill="243746"/>
          </w:tcPr>
          <w:p>
            <w:pPr>
              <w:spacing w:after="20" w:line="254" w:lineRule="auto"/>
            </w:pPr>
            <w:r>
              <w:rPr>
                <w:b/>
                <w:color w:val="FFFFFF"/>
                <w:sz w:val="24"/>
              </w:rPr>
              <w:t>Reader question</w:t>
            </w:r>
          </w:p>
        </w:tc>
        <w:tc>
          <w:tcPr>
            <w:tcW w:type="dxa" w:w="3874"/>
            <w:vAlign w:val="center"/>
            <w:shd w:fill="243746"/>
          </w:tcPr>
          <w:p>
            <w:pPr>
              <w:spacing w:after="20" w:line="254" w:lineRule="auto"/>
            </w:pPr>
            <w:r>
              <w:rPr>
                <w:b/>
                <w:color w:val="FFFFFF"/>
                <w:sz w:val="24"/>
              </w:rPr>
              <w:t>Evidence to retain</w:t>
            </w:r>
          </w:p>
        </w:tc>
      </w:tr>
      <w:tr>
        <w:trPr>
          <w:cantSplit/>
        </w:trPr>
        <w:tc>
          <w:tcPr>
            <w:tcW w:type="dxa" w:w="2304"/>
            <w:vAlign w:val="center"/>
            <w:shd w:fill="FFFFFF"/>
          </w:tcPr>
          <w:p>
            <w:pPr>
              <w:spacing w:after="20" w:line="254" w:lineRule="auto"/>
            </w:pPr>
            <w:r>
              <w:rPr>
                <w:b w:val="0"/>
                <w:color w:val="000000"/>
                <w:sz w:val="24"/>
              </w:rPr>
              <w:t>Difference</w:t>
            </w:r>
          </w:p>
        </w:tc>
        <w:tc>
          <w:tcPr>
            <w:tcW w:type="dxa" w:w="3816"/>
            <w:vAlign w:val="center"/>
            <w:shd w:fill="FFFFFF"/>
          </w:tcPr>
          <w:p>
            <w:pPr>
              <w:spacing w:after="20" w:line="254" w:lineRule="auto"/>
            </w:pPr>
            <w:r>
              <w:rPr>
                <w:b w:val="0"/>
                <w:color w:val="000000"/>
                <w:sz w:val="24"/>
              </w:rPr>
              <w:t>What is measurably different?</w:t>
            </w:r>
          </w:p>
        </w:tc>
        <w:tc>
          <w:tcPr>
            <w:tcW w:type="dxa" w:w="3874"/>
            <w:vAlign w:val="center"/>
            <w:shd w:fill="FFFFFF"/>
          </w:tcPr>
          <w:p>
            <w:pPr>
              <w:spacing w:after="20" w:line="254" w:lineRule="auto"/>
            </w:pPr>
            <w:r>
              <w:rPr>
                <w:b w:val="0"/>
                <w:color w:val="000000"/>
                <w:sz w:val="24"/>
              </w:rPr>
              <w:t>Earlier and later pages, rules, schedules or tasks</w:t>
            </w:r>
          </w:p>
        </w:tc>
      </w:tr>
      <w:tr>
        <w:trPr>
          <w:cantSplit/>
        </w:trPr>
        <w:tc>
          <w:tcPr>
            <w:tcW w:type="dxa" w:w="2304"/>
            <w:vAlign w:val="center"/>
            <w:shd w:fill="F2F5F6"/>
          </w:tcPr>
          <w:p>
            <w:pPr>
              <w:spacing w:after="20" w:line="254" w:lineRule="auto"/>
            </w:pPr>
            <w:r>
              <w:rPr>
                <w:b w:val="0"/>
                <w:color w:val="000000"/>
                <w:sz w:val="24"/>
              </w:rPr>
              <w:t>Decision</w:t>
            </w:r>
          </w:p>
        </w:tc>
        <w:tc>
          <w:tcPr>
            <w:tcW w:type="dxa" w:w="3816"/>
            <w:vAlign w:val="center"/>
            <w:shd w:fill="F2F5F6"/>
          </w:tcPr>
          <w:p>
            <w:pPr>
              <w:spacing w:after="20" w:line="254" w:lineRule="auto"/>
            </w:pPr>
            <w:r>
              <w:rPr>
                <w:b w:val="0"/>
                <w:color w:val="000000"/>
                <w:sz w:val="24"/>
              </w:rPr>
              <w:t>Who selected the change and why?</w:t>
            </w:r>
          </w:p>
        </w:tc>
        <w:tc>
          <w:tcPr>
            <w:tcW w:type="dxa" w:w="3874"/>
            <w:vAlign w:val="center"/>
            <w:shd w:fill="F2F5F6"/>
          </w:tcPr>
          <w:p>
            <w:pPr>
              <w:spacing w:after="20" w:line="254" w:lineRule="auto"/>
            </w:pPr>
            <w:r>
              <w:rPr>
                <w:b w:val="0"/>
                <w:color w:val="000000"/>
                <w:sz w:val="24"/>
              </w:rPr>
              <w:t>Minutes, directives, correspondence or stated rationale</w:t>
            </w:r>
          </w:p>
        </w:tc>
      </w:tr>
      <w:tr>
        <w:trPr>
          <w:cantSplit/>
        </w:trPr>
        <w:tc>
          <w:tcPr>
            <w:tcW w:type="dxa" w:w="2304"/>
            <w:vAlign w:val="center"/>
            <w:shd w:fill="FFFFFF"/>
          </w:tcPr>
          <w:p>
            <w:pPr>
              <w:spacing w:after="20" w:line="254" w:lineRule="auto"/>
            </w:pPr>
            <w:r>
              <w:rPr>
                <w:b w:val="0"/>
                <w:color w:val="000000"/>
                <w:sz w:val="24"/>
              </w:rPr>
              <w:t>Delivery</w:t>
            </w:r>
          </w:p>
        </w:tc>
        <w:tc>
          <w:tcPr>
            <w:tcW w:type="dxa" w:w="3816"/>
            <w:vAlign w:val="center"/>
            <w:shd w:fill="FFFFFF"/>
          </w:tcPr>
          <w:p>
            <w:pPr>
              <w:spacing w:after="20" w:line="254" w:lineRule="auto"/>
            </w:pPr>
            <w:r>
              <w:rPr>
                <w:b w:val="0"/>
                <w:color w:val="000000"/>
                <w:sz w:val="24"/>
              </w:rPr>
              <w:t>How did it reach this school?</w:t>
            </w:r>
          </w:p>
        </w:tc>
        <w:tc>
          <w:tcPr>
            <w:tcW w:type="dxa" w:w="3874"/>
            <w:vAlign w:val="center"/>
            <w:shd w:fill="FFFFFF"/>
          </w:tcPr>
          <w:p>
            <w:pPr>
              <w:spacing w:after="20" w:line="254" w:lineRule="auto"/>
            </w:pPr>
            <w:r>
              <w:rPr>
                <w:b w:val="0"/>
                <w:color w:val="000000"/>
                <w:sz w:val="24"/>
              </w:rPr>
              <w:t>Purchases, training, staffing and adoption records</w:t>
            </w:r>
          </w:p>
        </w:tc>
      </w:tr>
      <w:tr>
        <w:trPr>
          <w:cantSplit/>
        </w:trPr>
        <w:tc>
          <w:tcPr>
            <w:tcW w:type="dxa" w:w="2304"/>
            <w:vAlign w:val="center"/>
            <w:shd w:fill="F2F5F6"/>
          </w:tcPr>
          <w:p>
            <w:pPr>
              <w:spacing w:after="20" w:line="254" w:lineRule="auto"/>
            </w:pPr>
            <w:r>
              <w:rPr>
                <w:b w:val="0"/>
                <w:color w:val="000000"/>
                <w:sz w:val="24"/>
              </w:rPr>
              <w:t>Experience</w:t>
            </w:r>
          </w:p>
        </w:tc>
        <w:tc>
          <w:tcPr>
            <w:tcW w:type="dxa" w:w="3816"/>
            <w:vAlign w:val="center"/>
            <w:shd w:fill="F2F5F6"/>
          </w:tcPr>
          <w:p>
            <w:pPr>
              <w:spacing w:after="20" w:line="254" w:lineRule="auto"/>
            </w:pPr>
            <w:r>
              <w:rPr>
                <w:b w:val="0"/>
                <w:color w:val="000000"/>
                <w:sz w:val="24"/>
              </w:rPr>
              <w:t>What did students actually encounter?</w:t>
            </w:r>
          </w:p>
        </w:tc>
        <w:tc>
          <w:tcPr>
            <w:tcW w:type="dxa" w:w="3874"/>
            <w:vAlign w:val="center"/>
            <w:shd w:fill="F2F5F6"/>
          </w:tcPr>
          <w:p>
            <w:pPr>
              <w:spacing w:after="20" w:line="254" w:lineRule="auto"/>
            </w:pPr>
            <w:r>
              <w:rPr>
                <w:b w:val="0"/>
                <w:color w:val="000000"/>
                <w:sz w:val="24"/>
              </w:rPr>
              <w:t>Assignments, timetables, student work or scoped testimony</w:t>
            </w:r>
          </w:p>
        </w:tc>
      </w:tr>
      <w:tr>
        <w:trPr>
          <w:cantSplit/>
        </w:trPr>
        <w:tc>
          <w:tcPr>
            <w:tcW w:type="dxa" w:w="2304"/>
            <w:vAlign w:val="center"/>
            <w:shd w:fill="FFFFFF"/>
          </w:tcPr>
          <w:p>
            <w:pPr>
              <w:spacing w:after="20" w:line="254" w:lineRule="auto"/>
            </w:pPr>
            <w:r>
              <w:rPr>
                <w:b w:val="0"/>
                <w:color w:val="000000"/>
                <w:sz w:val="24"/>
              </w:rPr>
              <w:t>Consequence</w:t>
            </w:r>
          </w:p>
        </w:tc>
        <w:tc>
          <w:tcPr>
            <w:tcW w:type="dxa" w:w="3816"/>
            <w:vAlign w:val="center"/>
            <w:shd w:fill="FFFFFF"/>
          </w:tcPr>
          <w:p>
            <w:pPr>
              <w:spacing w:after="20" w:line="254" w:lineRule="auto"/>
            </w:pPr>
            <w:r>
              <w:rPr>
                <w:b w:val="0"/>
                <w:color w:val="000000"/>
                <w:sz w:val="24"/>
              </w:rPr>
              <w:t>What followed and what else could explain it?</w:t>
            </w:r>
          </w:p>
        </w:tc>
        <w:tc>
          <w:tcPr>
            <w:tcW w:type="dxa" w:w="3874"/>
            <w:vAlign w:val="center"/>
            <w:shd w:fill="FFFFFF"/>
          </w:tcPr>
          <w:p>
            <w:pPr>
              <w:spacing w:after="20" w:line="254" w:lineRule="auto"/>
            </w:pPr>
            <w:r>
              <w:rPr>
                <w:b w:val="0"/>
                <w:color w:val="000000"/>
                <w:sz w:val="24"/>
              </w:rPr>
              <w:t>Comparable outcomes and competing explanations</w:t>
            </w:r>
          </w:p>
        </w:tc>
      </w:tr>
    </w:tbl>
    <w:p>
      <w:pPr>
        <w:spacing w:after="40"/>
      </w:pPr>
    </w:p>
    <w:p>
      <w:r>
        <w:t>A chain can stop at any stage and still produce a useful finding. The two New York examinations establish a difference in tasks. The professional renaming discussed in Chapter 11 supplies an organizational decision and stated rationale. The misconduct reports in Chapter 15 examine failures in protective arrangements. These records should not be assigned interchangeable conclusions simply because each involves an institution changing or failing to change.</w:t>
      </w:r>
    </w:p>
    <w:p>
      <w:r>
        <w:t>Repeated symptoms become stronger evidence when the same documented mechanism accompanies them. If two districts use identical phrases, a common publisher is one possible explanation. If purchase orders establish that both bought the same program, that explanation gains support. If training materials show how teachers were instructed to use it, the account becomes more specific. If student work differs substantially between the districts, implementation must enter the explanation. The method gains strength by retaining that variation.</w:t>
      </w:r>
    </w:p>
    <w:p>
      <w:r>
        <w:t>For a practical reading habit, write one sentence at the end of a chapter: “This record establishes ___; the next connection to examine is ___.” The first blank prevents endless suspension of judgment. The second prevents a limited finding from becoming a total explanation.</w:t>
      </w:r>
    </w:p>
    <w:p>
      <w:pPr>
        <w:pStyle w:val="Heading2"/>
      </w:pPr>
      <w:r>
        <w:t>Three examples from this volume</w:t>
      </w:r>
    </w:p>
    <w:p>
      <w:r>
        <w:t>The home-economics example supports a documented professional naming change with a stated organizational rationale. The civics example challenges a proposed linear naming sequence because the earlier record already contains overlapping categories. The Counts example supports explicit advocacy for social reconstruction while leaving the scale of adoption to further investigation.</w:t>
      </w:r>
    </w:p>
    <w:p>
      <w:pPr>
        <w:pStyle w:val="Heading2"/>
      </w:pPr>
      <w:r>
        <w:t>Recognizing a pattern without manufacturing one</w:t>
      </w:r>
    </w:p>
    <w:p>
      <w:r>
        <w:t>Repeated features can justify a new question. Similar contractual terms across districts might suggest a shared vendor. Similar curriculum language might reflect a common source. Repeated failures to preserve complaints might suggest a weakness in institutional procedures. In each case, the next step is to identify the connection rather than assume it.</w:t>
      </w:r>
    </w:p>
    <w:p>
      <w:r>
        <w:t>The investigator should also look deliberately for exceptions. If the same vocabulary appears in institutions with very different policies, vocabulary alone is a weak indicator of common purpose. If a proposed reform was widely discussed but rarely adopted, the history of the discussion should not become a history of universal implementation.</w:t>
      </w:r>
    </w:p>
    <w:p>
      <w:r>
        <w:t>Source independence matters. Five articles repeating one report supply one underlying evidentiary source for the repeated claim. A contemporary letter, a purchasing record and a classroom artifact can provide different kinds of support. Their agreement is more informative when they were created independently for different purposes.</w:t>
      </w:r>
    </w:p>
    <w:p>
      <w:pPr>
        <w:pStyle w:val="Heading2"/>
      </w:pPr>
      <w:r>
        <w:t>What changed and why it matters</w:t>
      </w:r>
    </w:p>
    <w:p>
      <w:pPr>
        <w:keepLines/>
      </w:pPr>
      <w:r>
        <w:t>A recurring method earns trust by preserving contrary evidence and changing its findings when warranted. Its usefulness comes from inspectable records, not a hidden numerical judgment.</w:t>
      </w:r>
    </w:p>
    <w:p>
      <w:bookmarkStart w:id="1022" w:name="section_22"/>
      <w:pPr>
        <w:pStyle w:val="Heading1"/>
        <w:pageBreakBefore/>
      </w:pPr>
      <w:r>
        <w:t>Chapter 20 What an honest accounting asks of us</w:t>
      </w:r>
      <w:bookmarkEnd w:id="1022"/>
    </w:p>
    <w:p>
      <w:pPr>
        <w:pStyle w:val="Heading2"/>
      </w:pPr>
      <w:r>
        <w:t>Several conclusions can stand together</w:t>
      </w:r>
    </w:p>
    <w:p>
      <w:r>
        <w:t>The documentary record supports a history of deliberate attempts to shape education. It also supports a history of expanded access, contested authority, changing professional standards and recurring institutional failures. None of those findings requires the others to disappear.</w:t>
      </w:r>
    </w:p>
    <w:p>
      <w:r>
        <w:t>We have seen why a change in a course name cannot carry the whole argument about what children learned. We have also seen why a reformer’s stated social purpose deserves direct examination. Public institutions should not receive immunity from scrutiny because their language sounds benevolent. An accusation should not receive immunity from scrutiny because it fits a troubling pattern.</w:t>
      </w:r>
    </w:p>
    <w:p>
      <w:r>
        <w:t>The most useful historical comparisons preserve both standards and people. A demanding education matters. So does the question of who receives it. A school’s reputation matters less than whether it can demonstrate the knowledge, skills and protections it promises. A child should not have to choose between access and quality in our account of what education ought to provide.</w:t>
      </w:r>
    </w:p>
    <w:p>
      <w:pPr>
        <w:pStyle w:val="Heading2"/>
      </w:pPr>
      <w:r>
        <w:t>What the comparisons add up to</w:t>
      </w:r>
    </w:p>
    <w:p>
      <w:r>
        <w:t>The century’s changes can be understood through three questions about power. Who can enter the institution? Who can decide what happens there? Who can demand an explanation when it fails? The chapters on access answer the first question. The chapters on curriculum, funding and professional authority examine the second. The chapters on evidence and adult accountability make the third unavoidable.</w:t>
      </w:r>
    </w:p>
    <w:p>
      <w:r>
        <w:t>These questions do not always move together. More children can gain access while families still struggle to understand how a curriculum was selected. An institution can improve its published standards while leaving a complaint procedure poorly understood. A wider range of subjects can enrich an education or compete for time that students need to master foundational skills. The answer depends on the specific allocation and the evidence of learning.</w:t>
      </w:r>
    </w:p>
    <w:p>
      <w:r>
        <w:t>The older record also complicates the belief that education once concerned only a small set of academic basics. The 1918 objectives already reached into health, family life, work, leisure and character. The modern dispute is therefore partly about the boundaries of an inherited social mission. Which purposes belong to a school? Which require family consent or public deliberation? Which can an institution competently deliver?</w:t>
      </w:r>
    </w:p>
    <w:p>
      <w:r>
        <w:t>The record of ideology raises a different obligation. When a reformer openly proposes using education to reshape society, that proposal deserves to be read accurately and followed into any documented institutional consequences. It should neither disappear behind reassuring language nor become an explanation for changes that arose through another route. Precision allows a finding of influence to mean something.</w:t>
      </w:r>
    </w:p>
    <w:p>
      <w:r>
        <w:t>The durable standard is demanding but practical. Preserve useful knowledge. Examine the values attached to it. Make authority answerable for its decisions. Judge results with enough care that access, learning and protection remain visible as distinct obligations. A school should be able to explain all three.</w:t>
      </w:r>
    </w:p>
    <w:p>
      <w:pPr>
        <w:pStyle w:val="Heading2"/>
      </w:pPr>
      <w:r>
        <w:t>Questions a community can carry forward</w:t>
      </w:r>
    </w:p>
    <w:p>
      <w:r>
        <w:t>A community can ask for clear descriptions of what children are expected to learn and for examples of how that learning is assessed. It can ask who approved the materials, which evidence supported a significant change and what outcomes would lead the institution to reconsider. It can ask how concerns are recorded and how the responsible adults remain accountable.</w:t>
      </w:r>
    </w:p>
    <w:p>
      <w:r>
        <w:t>Those questions can be pursued without presuming that every teacher shares one motive. They can also be pursued without surrendering judgment to professional language. Expertise is most useful when it makes its reasons accessible and acknowledges the limits of its conclusions.</w:t>
      </w:r>
    </w:p>
    <w:p>
      <w:r>
        <w:t>For the author, the responsibility is similar. Every consequential allegation must be proportionate to its evidence. Every account of reform should identify the people who bore its costs. Every comparison should make its boundaries visible. The result may be less convenient than a story with one villain or one cure. It will be more useful to someone deciding what to preserve, change or investigate next.</w:t>
      </w:r>
    </w:p>
    <w:p>
      <w:pPr>
        <w:pStyle w:val="Heading2"/>
      </w:pPr>
      <w:r>
        <w:t>The next volume begins with the same discipline</w:t>
      </w:r>
    </w:p>
    <w:p>
      <w:r>
        <w:t>The larger series will ask how words, beliefs, customs and institutions changed over the same century. Education provides the first demonstration because it shows how a society explains itself to children and how children encounter the authority behind that explanation.</w:t>
      </w:r>
    </w:p>
    <w:p>
      <w:r>
        <w:t>The final question is therefore practical. When we say that a change is normal, necessary or inevitable, can we still find the decisions that made it so? Finding those decisions restores the possibility of judgment. It gives a community something more substantial than nostalgia or resignation: a record it can read, challenge and use.</w:t>
      </w:r>
    </w:p>
    <w:p>
      <w:pPr>
        <w:pStyle w:val="Heading2"/>
      </w:pPr>
      <w:r>
        <w:t>What changed and why it matters</w:t>
      </w:r>
    </w:p>
    <w:p>
      <w:pPr>
        <w:keepLines/>
      </w:pPr>
      <w:r>
        <w:t>The century leaves a public obligation: explain who made consequential decisions, what those decisions promised and what happened to the children who depended on them.</w:t>
      </w:r>
    </w:p>
    <w:p>
      <w:bookmarkStart w:id="1023" w:name="section_23"/>
      <w:pPr>
        <w:pStyle w:val="Heading1"/>
        <w:pageBreakBefore/>
      </w:pPr>
      <w:r>
        <w:t>Appendix A Terminology across the record</w:t>
      </w:r>
      <w:bookmarkEnd w:id="1023"/>
    </w:p>
    <w:p>
      <w:r>
        <w:t>The entries below distinguish documented historical changes from analytical definitions. They are not claims that every institution adopted the same vocabulary at the same time. Dates identify the sources used in this edition rather than an absolute first appearance of every term.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Term or comparison</w:t>
            </w:r>
          </w:p>
        </w:tc>
        <w:tc>
          <w:tcPr>
            <w:tcW w:type="dxa" w:w="3816"/>
            <w:vAlign w:val="center"/>
            <w:shd w:fill="243746"/>
          </w:tcPr>
          <w:p>
            <w:pPr>
              <w:spacing w:after="20" w:line="254" w:lineRule="auto"/>
            </w:pPr>
            <w:r>
              <w:rPr>
                <w:b/>
                <w:color w:val="FFFFFF"/>
                <w:sz w:val="24"/>
              </w:rPr>
              <w:t>Historical or analytical meaning</w:t>
            </w:r>
          </w:p>
        </w:tc>
        <w:tc>
          <w:tcPr>
            <w:tcW w:type="dxa" w:w="3874"/>
            <w:vAlign w:val="center"/>
            <w:shd w:fill="243746"/>
          </w:tcPr>
          <w:p>
            <w:pPr>
              <w:spacing w:after="20" w:line="254" w:lineRule="auto"/>
            </w:pPr>
            <w:r>
              <w:rPr>
                <w:b/>
                <w:color w:val="FFFFFF"/>
                <w:sz w:val="24"/>
              </w:rPr>
              <w:t>Caution for the reader</w:t>
            </w:r>
          </w:p>
        </w:tc>
      </w:tr>
      <w:tr>
        <w:trPr>
          <w:cantSplit/>
        </w:trPr>
        <w:tc>
          <w:tcPr>
            <w:tcW w:type="dxa" w:w="2304"/>
            <w:vAlign w:val="center"/>
            <w:shd w:fill="FFFFFF"/>
          </w:tcPr>
          <w:p>
            <w:pPr>
              <w:spacing w:after="20" w:line="254" w:lineRule="auto"/>
            </w:pPr>
            <w:r>
              <w:rPr>
                <w:b w:val="0"/>
                <w:color w:val="000000"/>
                <w:sz w:val="24"/>
              </w:rPr>
              <w:t>Constitution and civics</w:t>
            </w:r>
          </w:p>
        </w:tc>
        <w:tc>
          <w:tcPr>
            <w:tcW w:type="dxa" w:w="3816"/>
            <w:vAlign w:val="center"/>
            <w:shd w:fill="FFFFFF"/>
          </w:tcPr>
          <w:p>
            <w:pPr>
              <w:spacing w:after="20" w:line="254" w:lineRule="auto"/>
            </w:pPr>
            <w:r>
              <w:rPr>
                <w:b w:val="0"/>
                <w:color w:val="000000"/>
                <w:sz w:val="24"/>
              </w:rPr>
              <w:t>Constitutional knowledge can sit within civics, government or broader courses</w:t>
            </w:r>
          </w:p>
        </w:tc>
        <w:tc>
          <w:tcPr>
            <w:tcW w:type="dxa" w:w="3874"/>
            <w:vAlign w:val="center"/>
            <w:shd w:fill="FFFFFF"/>
          </w:tcPr>
          <w:p>
            <w:pPr>
              <w:spacing w:after="20" w:line="254" w:lineRule="auto"/>
            </w:pPr>
            <w:r>
              <w:rPr>
                <w:b w:val="0"/>
                <w:color w:val="000000"/>
                <w:sz w:val="24"/>
              </w:rPr>
              <w:t>A title does not measure depth</w:t>
            </w:r>
          </w:p>
        </w:tc>
      </w:tr>
      <w:tr>
        <w:trPr>
          <w:cantSplit/>
        </w:trPr>
        <w:tc>
          <w:tcPr>
            <w:tcW w:type="dxa" w:w="2304"/>
            <w:vAlign w:val="center"/>
            <w:shd w:fill="F2F5F6"/>
          </w:tcPr>
          <w:p>
            <w:pPr>
              <w:spacing w:after="20" w:line="254" w:lineRule="auto"/>
            </w:pPr>
            <w:r>
              <w:rPr>
                <w:b w:val="0"/>
                <w:color w:val="000000"/>
                <w:sz w:val="24"/>
              </w:rPr>
              <w:t>Civics and social studies</w:t>
            </w:r>
          </w:p>
        </w:tc>
        <w:tc>
          <w:tcPr>
            <w:tcW w:type="dxa" w:w="3816"/>
            <w:vAlign w:val="center"/>
            <w:shd w:fill="F2F5F6"/>
          </w:tcPr>
          <w:p>
            <w:pPr>
              <w:spacing w:after="20" w:line="254" w:lineRule="auto"/>
            </w:pPr>
            <w:r>
              <w:rPr>
                <w:b w:val="0"/>
                <w:color w:val="000000"/>
                <w:sz w:val="24"/>
              </w:rPr>
              <w:t>Both appear in the 1916 social-studies report</w:t>
            </w:r>
          </w:p>
        </w:tc>
        <w:tc>
          <w:tcPr>
            <w:tcW w:type="dxa" w:w="3874"/>
            <w:vAlign w:val="center"/>
            <w:shd w:fill="F2F5F6"/>
          </w:tcPr>
          <w:p>
            <w:pPr>
              <w:spacing w:after="20" w:line="254" w:lineRule="auto"/>
            </w:pPr>
            <w:r>
              <w:rPr>
                <w:b w:val="0"/>
                <w:color w:val="000000"/>
                <w:sz w:val="24"/>
              </w:rPr>
              <w:t>They are not a verified nationwide replacement sequence</w:t>
            </w:r>
          </w:p>
        </w:tc>
      </w:tr>
      <w:tr>
        <w:trPr>
          <w:cantSplit/>
        </w:trPr>
        <w:tc>
          <w:tcPr>
            <w:tcW w:type="dxa" w:w="2304"/>
            <w:vAlign w:val="center"/>
            <w:shd w:fill="FFFFFF"/>
          </w:tcPr>
          <w:p>
            <w:pPr>
              <w:spacing w:after="20" w:line="254" w:lineRule="auto"/>
            </w:pPr>
            <w:r>
              <w:rPr>
                <w:b w:val="0"/>
                <w:color w:val="000000"/>
                <w:sz w:val="24"/>
              </w:rPr>
              <w:t>Social efficiency</w:t>
            </w:r>
          </w:p>
        </w:tc>
        <w:tc>
          <w:tcPr>
            <w:tcW w:type="dxa" w:w="3816"/>
            <w:vAlign w:val="center"/>
            <w:shd w:fill="FFFFFF"/>
          </w:tcPr>
          <w:p>
            <w:pPr>
              <w:spacing w:after="20" w:line="254" w:lineRule="auto"/>
            </w:pPr>
            <w:r>
              <w:rPr>
                <w:b w:val="0"/>
                <w:color w:val="000000"/>
                <w:sz w:val="24"/>
              </w:rPr>
              <w:t>A stated educational aim in the 1916 report</w:t>
            </w:r>
          </w:p>
        </w:tc>
        <w:tc>
          <w:tcPr>
            <w:tcW w:type="dxa" w:w="3874"/>
            <w:vAlign w:val="center"/>
            <w:shd w:fill="FFFFFF"/>
          </w:tcPr>
          <w:p>
            <w:pPr>
              <w:spacing w:after="20" w:line="254" w:lineRule="auto"/>
            </w:pPr>
            <w:r>
              <w:rPr>
                <w:b w:val="0"/>
                <w:color w:val="000000"/>
                <w:sz w:val="24"/>
              </w:rPr>
              <w:t>Do not equate the phrase automatically with socialism</w:t>
            </w:r>
          </w:p>
        </w:tc>
      </w:tr>
      <w:tr>
        <w:trPr>
          <w:cantSplit/>
        </w:trPr>
        <w:tc>
          <w:tcPr>
            <w:tcW w:type="dxa" w:w="2304"/>
            <w:vAlign w:val="center"/>
            <w:shd w:fill="F2F5F6"/>
          </w:tcPr>
          <w:p>
            <w:pPr>
              <w:spacing w:after="20" w:line="254" w:lineRule="auto"/>
            </w:pPr>
            <w:r>
              <w:rPr>
                <w:b w:val="0"/>
                <w:color w:val="000000"/>
                <w:sz w:val="24"/>
              </w:rPr>
              <w:t>Progressive education</w:t>
            </w:r>
          </w:p>
        </w:tc>
        <w:tc>
          <w:tcPr>
            <w:tcW w:type="dxa" w:w="3816"/>
            <w:vAlign w:val="center"/>
            <w:shd w:fill="F2F5F6"/>
          </w:tcPr>
          <w:p>
            <w:pPr>
              <w:spacing w:after="20" w:line="254" w:lineRule="auto"/>
            </w:pPr>
            <w:r>
              <w:rPr>
                <w:b w:val="0"/>
                <w:color w:val="000000"/>
                <w:sz w:val="24"/>
              </w:rPr>
              <w:t>A broad label for educational reform traditions</w:t>
            </w:r>
          </w:p>
        </w:tc>
        <w:tc>
          <w:tcPr>
            <w:tcW w:type="dxa" w:w="3874"/>
            <w:vAlign w:val="center"/>
            <w:shd w:fill="F2F5F6"/>
          </w:tcPr>
          <w:p>
            <w:pPr>
              <w:spacing w:after="20" w:line="254" w:lineRule="auto"/>
            </w:pPr>
            <w:r>
              <w:rPr>
                <w:b w:val="0"/>
                <w:color w:val="000000"/>
                <w:sz w:val="24"/>
              </w:rPr>
              <w:t>Identify the particular author and proposal</w:t>
            </w:r>
          </w:p>
        </w:tc>
      </w:tr>
      <w:tr>
        <w:trPr>
          <w:cantSplit/>
        </w:trPr>
        <w:tc>
          <w:tcPr>
            <w:tcW w:type="dxa" w:w="2304"/>
            <w:vAlign w:val="center"/>
            <w:shd w:fill="FFFFFF"/>
          </w:tcPr>
          <w:p>
            <w:pPr>
              <w:spacing w:after="20" w:line="254" w:lineRule="auto"/>
            </w:pPr>
            <w:r>
              <w:rPr>
                <w:b w:val="0"/>
                <w:color w:val="000000"/>
                <w:sz w:val="24"/>
              </w:rPr>
              <w:t>Social reconstruction</w:t>
            </w:r>
          </w:p>
        </w:tc>
        <w:tc>
          <w:tcPr>
            <w:tcW w:type="dxa" w:w="3816"/>
            <w:vAlign w:val="center"/>
            <w:shd w:fill="FFFFFF"/>
          </w:tcPr>
          <w:p>
            <w:pPr>
              <w:spacing w:after="20" w:line="254" w:lineRule="auto"/>
            </w:pPr>
            <w:r>
              <w:rPr>
                <w:b w:val="0"/>
                <w:color w:val="000000"/>
                <w:sz w:val="24"/>
              </w:rPr>
              <w:t>An explicit concern in Counts’s 1932 argument</w:t>
            </w:r>
          </w:p>
        </w:tc>
        <w:tc>
          <w:tcPr>
            <w:tcW w:type="dxa" w:w="3874"/>
            <w:vAlign w:val="center"/>
            <w:shd w:fill="FFFFFF"/>
          </w:tcPr>
          <w:p>
            <w:pPr>
              <w:spacing w:after="20" w:line="254" w:lineRule="auto"/>
            </w:pPr>
            <w:r>
              <w:rPr>
                <w:b w:val="0"/>
                <w:color w:val="000000"/>
                <w:sz w:val="24"/>
              </w:rPr>
              <w:t>Advocacy and adoption are separate findings</w:t>
            </w:r>
          </w:p>
        </w:tc>
      </w:tr>
      <w:tr>
        <w:trPr>
          <w:cantSplit/>
        </w:trPr>
        <w:tc>
          <w:tcPr>
            <w:tcW w:type="dxa" w:w="2304"/>
            <w:vAlign w:val="center"/>
            <w:shd w:fill="F2F5F6"/>
          </w:tcPr>
          <w:p>
            <w:pPr>
              <w:spacing w:after="20" w:line="254" w:lineRule="auto"/>
            </w:pPr>
            <w:r>
              <w:rPr>
                <w:b w:val="0"/>
                <w:color w:val="000000"/>
                <w:sz w:val="24"/>
              </w:rPr>
              <w:t>Home economics and FCS</w:t>
            </w:r>
          </w:p>
        </w:tc>
        <w:tc>
          <w:tcPr>
            <w:tcW w:type="dxa" w:w="3816"/>
            <w:vAlign w:val="center"/>
            <w:shd w:fill="F2F5F6"/>
          </w:tcPr>
          <w:p>
            <w:pPr>
              <w:spacing w:after="20" w:line="254" w:lineRule="auto"/>
            </w:pPr>
            <w:r>
              <w:rPr>
                <w:b w:val="0"/>
                <w:color w:val="000000"/>
                <w:sz w:val="24"/>
              </w:rPr>
              <w:t>The professional field adopted family and consumer sciences in 1994</w:t>
            </w:r>
          </w:p>
        </w:tc>
        <w:tc>
          <w:tcPr>
            <w:tcW w:type="dxa" w:w="3874"/>
            <w:vAlign w:val="center"/>
            <w:shd w:fill="F2F5F6"/>
          </w:tcPr>
          <w:p>
            <w:pPr>
              <w:spacing w:after="20" w:line="254" w:lineRule="auto"/>
            </w:pPr>
            <w:r>
              <w:rPr>
                <w:b w:val="0"/>
                <w:color w:val="000000"/>
                <w:sz w:val="24"/>
              </w:rPr>
              <w:t>Local courses may follow different timelines</w:t>
            </w:r>
          </w:p>
        </w:tc>
      </w:tr>
      <w:tr>
        <w:trPr>
          <w:cantSplit/>
        </w:trPr>
        <w:tc>
          <w:tcPr>
            <w:tcW w:type="dxa" w:w="2304"/>
            <w:vAlign w:val="center"/>
            <w:shd w:fill="FFFFFF"/>
          </w:tcPr>
          <w:p>
            <w:pPr>
              <w:spacing w:after="20" w:line="254" w:lineRule="auto"/>
            </w:pPr>
            <w:r>
              <w:rPr>
                <w:b w:val="0"/>
                <w:color w:val="000000"/>
                <w:sz w:val="24"/>
              </w:rPr>
              <w:t>Vocational education and CTE</w:t>
            </w:r>
          </w:p>
        </w:tc>
        <w:tc>
          <w:tcPr>
            <w:tcW w:type="dxa" w:w="3816"/>
            <w:vAlign w:val="center"/>
            <w:shd w:fill="FFFFFF"/>
          </w:tcPr>
          <w:p>
            <w:pPr>
              <w:spacing w:after="20" w:line="254" w:lineRule="auto"/>
            </w:pPr>
            <w:r>
              <w:rPr>
                <w:b w:val="0"/>
                <w:color w:val="000000"/>
                <w:sz w:val="24"/>
              </w:rPr>
              <w:t>Related vocabularies for education connected with work</w:t>
            </w:r>
          </w:p>
        </w:tc>
        <w:tc>
          <w:tcPr>
            <w:tcW w:type="dxa" w:w="3874"/>
            <w:vAlign w:val="center"/>
            <w:shd w:fill="FFFFFF"/>
          </w:tcPr>
          <w:p>
            <w:pPr>
              <w:spacing w:after="20" w:line="254" w:lineRule="auto"/>
            </w:pPr>
            <w:r>
              <w:rPr>
                <w:b w:val="0"/>
                <w:color w:val="000000"/>
                <w:sz w:val="24"/>
              </w:rPr>
              <w:t>Compare programs and statutory context</w:t>
            </w:r>
          </w:p>
        </w:tc>
      </w:tr>
      <w:tr>
        <w:trPr>
          <w:cantSplit/>
        </w:trPr>
        <w:tc>
          <w:tcPr>
            <w:tcW w:type="dxa" w:w="2304"/>
            <w:vAlign w:val="center"/>
            <w:shd w:fill="F2F5F6"/>
          </w:tcPr>
          <w:p>
            <w:pPr>
              <w:spacing w:after="20" w:line="254" w:lineRule="auto"/>
            </w:pPr>
            <w:r>
              <w:rPr>
                <w:b w:val="0"/>
                <w:color w:val="000000"/>
                <w:sz w:val="24"/>
              </w:rPr>
              <w:t>EHA and IDEA</w:t>
            </w:r>
          </w:p>
        </w:tc>
        <w:tc>
          <w:tcPr>
            <w:tcW w:type="dxa" w:w="3816"/>
            <w:vAlign w:val="center"/>
            <w:shd w:fill="F2F5F6"/>
          </w:tcPr>
          <w:p>
            <w:pPr>
              <w:spacing w:after="20" w:line="254" w:lineRule="auto"/>
            </w:pPr>
            <w:r>
              <w:rPr>
                <w:b w:val="0"/>
                <w:color w:val="000000"/>
                <w:sz w:val="24"/>
              </w:rPr>
              <w:t>Names within a developing federal disability-education framework</w:t>
            </w:r>
          </w:p>
        </w:tc>
        <w:tc>
          <w:tcPr>
            <w:tcW w:type="dxa" w:w="3874"/>
            <w:vAlign w:val="center"/>
            <w:shd w:fill="F2F5F6"/>
          </w:tcPr>
          <w:p>
            <w:pPr>
              <w:spacing w:after="20" w:line="254" w:lineRule="auto"/>
            </w:pPr>
            <w:r>
              <w:rPr>
                <w:b w:val="0"/>
                <w:color w:val="000000"/>
                <w:sz w:val="24"/>
              </w:rPr>
              <w:t>A legal change involves more than terminology</w:t>
            </w:r>
          </w:p>
        </w:tc>
      </w:tr>
      <w:tr>
        <w:trPr>
          <w:cantSplit/>
        </w:trPr>
        <w:tc>
          <w:tcPr>
            <w:tcW w:type="dxa" w:w="2304"/>
            <w:vAlign w:val="center"/>
            <w:shd w:fill="FFFFFF"/>
          </w:tcPr>
          <w:p>
            <w:pPr>
              <w:spacing w:after="20" w:line="254" w:lineRule="auto"/>
            </w:pPr>
            <w:r>
              <w:rPr>
                <w:b w:val="0"/>
                <w:color w:val="000000"/>
                <w:sz w:val="24"/>
              </w:rPr>
              <w:t>Degree</w:t>
            </w:r>
          </w:p>
        </w:tc>
        <w:tc>
          <w:tcPr>
            <w:tcW w:type="dxa" w:w="3816"/>
            <w:vAlign w:val="center"/>
            <w:shd w:fill="FFFFFF"/>
          </w:tcPr>
          <w:p>
            <w:pPr>
              <w:spacing w:after="20" w:line="254" w:lineRule="auto"/>
            </w:pPr>
            <w:r>
              <w:rPr>
                <w:b w:val="0"/>
                <w:color w:val="000000"/>
                <w:sz w:val="24"/>
              </w:rPr>
              <w:t>An academic award from an institution</w:t>
            </w:r>
          </w:p>
        </w:tc>
        <w:tc>
          <w:tcPr>
            <w:tcW w:type="dxa" w:w="3874"/>
            <w:vAlign w:val="center"/>
            <w:shd w:fill="FFFFFF"/>
          </w:tcPr>
          <w:p>
            <w:pPr>
              <w:spacing w:after="20" w:line="254" w:lineRule="auto"/>
            </w:pPr>
            <w:r>
              <w:rPr>
                <w:b w:val="0"/>
                <w:color w:val="000000"/>
                <w:sz w:val="24"/>
              </w:rPr>
              <w:t>It is not identical to a license</w:t>
            </w:r>
          </w:p>
        </w:tc>
      </w:tr>
      <w:tr>
        <w:trPr>
          <w:cantSplit/>
        </w:trPr>
        <w:tc>
          <w:tcPr>
            <w:tcW w:type="dxa" w:w="2304"/>
            <w:vAlign w:val="center"/>
            <w:shd w:fill="F2F5F6"/>
          </w:tcPr>
          <w:p>
            <w:pPr>
              <w:spacing w:after="20" w:line="254" w:lineRule="auto"/>
            </w:pPr>
            <w:r>
              <w:rPr>
                <w:b w:val="0"/>
                <w:color w:val="000000"/>
                <w:sz w:val="24"/>
              </w:rPr>
              <w:t>Certification</w:t>
            </w:r>
          </w:p>
        </w:tc>
        <w:tc>
          <w:tcPr>
            <w:tcW w:type="dxa" w:w="3816"/>
            <w:vAlign w:val="center"/>
            <w:shd w:fill="F2F5F6"/>
          </w:tcPr>
          <w:p>
            <w:pPr>
              <w:spacing w:after="20" w:line="254" w:lineRule="auto"/>
            </w:pPr>
            <w:r>
              <w:rPr>
                <w:b w:val="0"/>
                <w:color w:val="000000"/>
                <w:sz w:val="24"/>
              </w:rPr>
              <w:t>Recognition against a defined standard</w:t>
            </w:r>
          </w:p>
        </w:tc>
        <w:tc>
          <w:tcPr>
            <w:tcW w:type="dxa" w:w="3874"/>
            <w:vAlign w:val="center"/>
            <w:shd w:fill="F2F5F6"/>
          </w:tcPr>
          <w:p>
            <w:pPr>
              <w:spacing w:after="20" w:line="254" w:lineRule="auto"/>
            </w:pPr>
            <w:r>
              <w:rPr>
                <w:b w:val="0"/>
                <w:color w:val="000000"/>
                <w:sz w:val="24"/>
              </w:rPr>
              <w:t>The issuing body and scope matter</w:t>
            </w:r>
          </w:p>
        </w:tc>
      </w:tr>
      <w:tr>
        <w:trPr>
          <w:cantSplit/>
        </w:trPr>
        <w:tc>
          <w:tcPr>
            <w:tcW w:type="dxa" w:w="2304"/>
            <w:vAlign w:val="center"/>
            <w:shd w:fill="FFFFFF"/>
          </w:tcPr>
          <w:p>
            <w:pPr>
              <w:spacing w:after="20" w:line="254" w:lineRule="auto"/>
            </w:pPr>
            <w:r>
              <w:rPr>
                <w:b w:val="0"/>
                <w:color w:val="000000"/>
                <w:sz w:val="24"/>
              </w:rPr>
              <w:t>Licensure</w:t>
            </w:r>
          </w:p>
        </w:tc>
        <w:tc>
          <w:tcPr>
            <w:tcW w:type="dxa" w:w="3816"/>
            <w:vAlign w:val="center"/>
            <w:shd w:fill="FFFFFF"/>
          </w:tcPr>
          <w:p>
            <w:pPr>
              <w:spacing w:after="20" w:line="254" w:lineRule="auto"/>
            </w:pPr>
            <w:r>
              <w:rPr>
                <w:b w:val="0"/>
                <w:color w:val="000000"/>
                <w:sz w:val="24"/>
              </w:rPr>
              <w:t>Legal authorization to practice under applicable rules</w:t>
            </w:r>
          </w:p>
        </w:tc>
        <w:tc>
          <w:tcPr>
            <w:tcW w:type="dxa" w:w="3874"/>
            <w:vAlign w:val="center"/>
            <w:shd w:fill="FFFFFF"/>
          </w:tcPr>
          <w:p>
            <w:pPr>
              <w:spacing w:after="20" w:line="254" w:lineRule="auto"/>
            </w:pPr>
            <w:r>
              <w:rPr>
                <w:b w:val="0"/>
                <w:color w:val="000000"/>
                <w:sz w:val="24"/>
              </w:rPr>
              <w:t>Requirements vary by occupation and jurisdiction</w:t>
            </w:r>
          </w:p>
        </w:tc>
      </w:tr>
      <w:tr>
        <w:trPr>
          <w:cantSplit/>
        </w:trPr>
        <w:tc>
          <w:tcPr>
            <w:tcW w:type="dxa" w:w="2304"/>
            <w:vAlign w:val="center"/>
            <w:shd w:fill="F2F5F6"/>
          </w:tcPr>
          <w:p>
            <w:pPr>
              <w:spacing w:after="20" w:line="254" w:lineRule="auto"/>
            </w:pPr>
            <w:r>
              <w:rPr>
                <w:b w:val="0"/>
                <w:color w:val="000000"/>
                <w:sz w:val="24"/>
              </w:rPr>
              <w:t>Accreditation</w:t>
            </w:r>
          </w:p>
        </w:tc>
        <w:tc>
          <w:tcPr>
            <w:tcW w:type="dxa" w:w="3816"/>
            <w:vAlign w:val="center"/>
            <w:shd w:fill="F2F5F6"/>
          </w:tcPr>
          <w:p>
            <w:pPr>
              <w:spacing w:after="20" w:line="254" w:lineRule="auto"/>
            </w:pPr>
            <w:r>
              <w:rPr>
                <w:b w:val="0"/>
                <w:color w:val="000000"/>
                <w:sz w:val="24"/>
              </w:rPr>
              <w:t>Evaluation of an institution or program by an accrediting body</w:t>
            </w:r>
          </w:p>
        </w:tc>
        <w:tc>
          <w:tcPr>
            <w:tcW w:type="dxa" w:w="3874"/>
            <w:vAlign w:val="center"/>
            <w:shd w:fill="F2F5F6"/>
          </w:tcPr>
          <w:p>
            <w:pPr>
              <w:spacing w:after="20" w:line="254" w:lineRule="auto"/>
            </w:pPr>
            <w:r>
              <w:rPr>
                <w:b w:val="0"/>
                <w:color w:val="000000"/>
                <w:sz w:val="24"/>
              </w:rPr>
              <w:t>It does not certify every graduate’s performance</w:t>
            </w:r>
          </w:p>
        </w:tc>
      </w:tr>
      <w:tr>
        <w:trPr>
          <w:cantSplit/>
        </w:trPr>
        <w:tc>
          <w:tcPr>
            <w:tcW w:type="dxa" w:w="2304"/>
            <w:vAlign w:val="center"/>
            <w:shd w:fill="FFFFFF"/>
          </w:tcPr>
          <w:p>
            <w:pPr>
              <w:spacing w:after="20" w:line="254" w:lineRule="auto"/>
            </w:pPr>
            <w:r>
              <w:rPr>
                <w:b w:val="0"/>
                <w:color w:val="000000"/>
                <w:sz w:val="24"/>
              </w:rPr>
              <w:t>NAEP Proficient</w:t>
            </w:r>
          </w:p>
        </w:tc>
        <w:tc>
          <w:tcPr>
            <w:tcW w:type="dxa" w:w="3816"/>
            <w:vAlign w:val="center"/>
            <w:shd w:fill="FFFFFF"/>
          </w:tcPr>
          <w:p>
            <w:pPr>
              <w:spacing w:after="20" w:line="254" w:lineRule="auto"/>
            </w:pPr>
            <w:r>
              <w:rPr>
                <w:b w:val="0"/>
                <w:color w:val="000000"/>
                <w:sz w:val="24"/>
              </w:rPr>
              <w:t>A defined NAEP achievement category</w:t>
            </w:r>
          </w:p>
        </w:tc>
        <w:tc>
          <w:tcPr>
            <w:tcW w:type="dxa" w:w="3874"/>
            <w:vAlign w:val="center"/>
            <w:shd w:fill="FFFFFF"/>
          </w:tcPr>
          <w:p>
            <w:pPr>
              <w:spacing w:after="20" w:line="254" w:lineRule="auto"/>
            </w:pPr>
            <w:r>
              <w:rPr>
                <w:b w:val="0"/>
                <w:color w:val="000000"/>
                <w:sz w:val="24"/>
              </w:rPr>
              <w:t>It is not a synonym for ordinary grade-level proficiency</w:t>
            </w:r>
          </w:p>
        </w:tc>
      </w:tr>
      <w:tr>
        <w:trPr>
          <w:cantSplit/>
        </w:trPr>
        <w:tc>
          <w:tcPr>
            <w:tcW w:type="dxa" w:w="2304"/>
            <w:vAlign w:val="center"/>
            <w:shd w:fill="F2F5F6"/>
          </w:tcPr>
          <w:p>
            <w:pPr>
              <w:spacing w:after="20" w:line="254" w:lineRule="auto"/>
            </w:pPr>
            <w:r>
              <w:rPr>
                <w:b w:val="0"/>
                <w:color w:val="000000"/>
                <w:sz w:val="24"/>
              </w:rPr>
              <w:t>Literacy</w:t>
            </w:r>
          </w:p>
        </w:tc>
        <w:tc>
          <w:tcPr>
            <w:tcW w:type="dxa" w:w="3816"/>
            <w:vAlign w:val="center"/>
            <w:shd w:fill="F2F5F6"/>
          </w:tcPr>
          <w:p>
            <w:pPr>
              <w:spacing w:after="20" w:line="254" w:lineRule="auto"/>
            </w:pPr>
            <w:r>
              <w:rPr>
                <w:b w:val="0"/>
                <w:color w:val="000000"/>
                <w:sz w:val="24"/>
              </w:rPr>
              <w:t>A capability measured in different ways across time</w:t>
            </w:r>
          </w:p>
        </w:tc>
        <w:tc>
          <w:tcPr>
            <w:tcW w:type="dxa" w:w="3874"/>
            <w:vAlign w:val="center"/>
            <w:shd w:fill="F2F5F6"/>
          </w:tcPr>
          <w:p>
            <w:pPr>
              <w:spacing w:after="20" w:line="254" w:lineRule="auto"/>
            </w:pPr>
            <w:r>
              <w:rPr>
                <w:b w:val="0"/>
                <w:color w:val="000000"/>
                <w:sz w:val="24"/>
              </w:rPr>
              <w:t>Check the definition and instrument</w:t>
            </w:r>
          </w:p>
        </w:tc>
      </w:tr>
      <w:tr>
        <w:trPr>
          <w:cantSplit/>
        </w:trPr>
        <w:tc>
          <w:tcPr>
            <w:tcW w:type="dxa" w:w="2304"/>
            <w:vAlign w:val="center"/>
            <w:shd w:fill="FFFFFF"/>
          </w:tcPr>
          <w:p>
            <w:pPr>
              <w:spacing w:after="20" w:line="254" w:lineRule="auto"/>
            </w:pPr>
            <w:r>
              <w:rPr>
                <w:b w:val="0"/>
                <w:color w:val="000000"/>
                <w:sz w:val="24"/>
              </w:rPr>
              <w:t>Allegation and finding</w:t>
            </w:r>
          </w:p>
        </w:tc>
        <w:tc>
          <w:tcPr>
            <w:tcW w:type="dxa" w:w="3816"/>
            <w:vAlign w:val="center"/>
            <w:shd w:fill="FFFFFF"/>
          </w:tcPr>
          <w:p>
            <w:pPr>
              <w:spacing w:after="20" w:line="254" w:lineRule="auto"/>
            </w:pPr>
            <w:r>
              <w:rPr>
                <w:b w:val="0"/>
                <w:color w:val="000000"/>
                <w:sz w:val="24"/>
              </w:rPr>
              <w:t>A report of conduct and a determination about it</w:t>
            </w:r>
          </w:p>
        </w:tc>
        <w:tc>
          <w:tcPr>
            <w:tcW w:type="dxa" w:w="3874"/>
            <w:vAlign w:val="center"/>
            <w:shd w:fill="FFFFFF"/>
          </w:tcPr>
          <w:p>
            <w:pPr>
              <w:spacing w:after="20" w:line="254" w:lineRule="auto"/>
            </w:pPr>
            <w:r>
              <w:rPr>
                <w:b w:val="0"/>
                <w:color w:val="000000"/>
                <w:sz w:val="24"/>
              </w:rPr>
              <w:t>Do not collapse either into a conviction</w:t>
            </w:r>
          </w:p>
        </w:tc>
      </w:tr>
      <w:tr>
        <w:trPr>
          <w:cantSplit/>
        </w:trPr>
        <w:tc>
          <w:tcPr>
            <w:tcW w:type="dxa" w:w="2304"/>
            <w:vAlign w:val="center"/>
            <w:shd w:fill="F2F5F6"/>
          </w:tcPr>
          <w:p>
            <w:pPr>
              <w:spacing w:after="20" w:line="254" w:lineRule="auto"/>
            </w:pPr>
            <w:r>
              <w:rPr>
                <w:b w:val="0"/>
                <w:color w:val="000000"/>
                <w:sz w:val="24"/>
              </w:rPr>
              <w:t>Etymology and semantic change</w:t>
            </w:r>
          </w:p>
        </w:tc>
        <w:tc>
          <w:tcPr>
            <w:tcW w:type="dxa" w:w="3816"/>
            <w:vAlign w:val="center"/>
            <w:shd w:fill="F2F5F6"/>
          </w:tcPr>
          <w:p>
            <w:pPr>
              <w:spacing w:after="20" w:line="254" w:lineRule="auto"/>
            </w:pPr>
            <w:r>
              <w:rPr>
                <w:b w:val="0"/>
                <w:color w:val="000000"/>
                <w:sz w:val="24"/>
              </w:rPr>
              <w:t>Word origin and changes in meaning or use</w:t>
            </w:r>
          </w:p>
        </w:tc>
        <w:tc>
          <w:tcPr>
            <w:tcW w:type="dxa" w:w="3874"/>
            <w:vAlign w:val="center"/>
            <w:shd w:fill="F2F5F6"/>
          </w:tcPr>
          <w:p>
            <w:pPr>
              <w:spacing w:after="20" w:line="254" w:lineRule="auto"/>
            </w:pPr>
            <w:r>
              <w:rPr>
                <w:b w:val="0"/>
                <w:color w:val="000000"/>
                <w:sz w:val="24"/>
              </w:rPr>
              <w:t>They answer different historical questions</w:t>
            </w:r>
          </w:p>
        </w:tc>
      </w:tr>
    </w:tbl>
    <w:p>
      <w:pPr>
        <w:spacing w:after="40"/>
      </w:pPr>
    </w:p>
    <w:p>
      <w:r>
        <w:t>Sources for the historical entries appear in Chapters 3, 4, 11, 12, 13 and 17. The other entries define how this book uses analytical terms. They are not jurisdiction-specific legal definitions.</w:t>
      </w:r>
    </w:p>
    <w:p>
      <w:bookmarkStart w:id="1024" w:name="section_24"/>
      <w:pPr>
        <w:pStyle w:val="Heading1"/>
        <w:pageBreakBefore/>
      </w:pPr>
      <w:r>
        <w:t>Appendix B A reader guide to evaluating a claim</w:t>
      </w:r>
      <w:bookmarkEnd w:id="1024"/>
    </w:p>
    <w:p>
      <w:r>
        <w:t>Start by rewriting the claim as one sentence that could be supported or contradicted. “Education changed” is too broad. “This district reduced required government instruction between two identified curriculum editions” has a defined object.</w:t>
      </w:r>
    </w:p>
    <w:p>
      <w:r>
        <w:t>Next, identify the document that would establish the change. Keep its author, date, edition and relevant page or section. Preserve enough surrounding material to understand the passage. If the document is a later recollection, identify it as such rather than treating it as a contemporaneous record.</w:t>
      </w:r>
    </w:p>
    <w:p>
      <w:r>
        <w:t>Then ask whether the explanation has its own evidence. A changed timetable establishes allocation. It does not establish why the decision was made. A speech establishes an argument. It does not establish that the speaker controlled the decision. Keep the two chains separate until records connect them.</w:t>
      </w:r>
    </w:p>
    <w:p>
      <w:r>
        <w:t>Finally, write the strongest warranted conclusion and the principal limit. A useful finding can be narrow. “The naming change is documented; its effect on classroom content remains unmeasured” gives a reader more usable information than an unsupported claim of complete transformation.</w:t>
      </w:r>
    </w:p>
    <w:p>
      <w:pPr>
        <w:pStyle w:val="Heading2"/>
      </w:pPr>
      <w:r>
        <w:t>An example of a proportionate paragraph</w:t>
      </w:r>
    </w:p>
    <w:p>
      <w:r>
        <w:t>The 1916 federal report grouped civics with history and geography in a proposed social-studies program. That record contradicts a simple account in which social studies appeared only after civics disappeared. It does not establish how every district organized instruction. To determine whether constitutional content declined in a particular school, researchers would need comparable course requirements, materials and assessments from that setting.</w:t>
      </w:r>
    </w:p>
    <w:p>
      <w:r>
        <w:t>This example demonstrates the form of a finding. It states the documentary fact, explains its implication and identifies the limit. Its historical source is the report cited in Chapter 3.</w:t>
      </w:r>
    </w:p>
    <w:p>
      <w:bookmarkStart w:id="1025" w:name="section_25"/>
      <w:pPr>
        <w:pStyle w:val="Heading1"/>
        <w:pageBreakBefore/>
      </w:pPr>
      <w:r>
        <w:t>Appendix C Findings and questions for the next edition</w:t>
      </w:r>
      <w:bookmarkEnd w:id="1025"/>
    </w:p>
    <w:p>
      <w:r>
        <w:t>This revised edition establishes several documentary anchors: overlapping civics and social-studies terminology before 1926; explicit arguments for social reconstruction; legislative and judicial changes affecting access and authority; a verified professional renaming; selected institutional-protection failures; and recent assessment results with defined limits.</w:t>
      </w:r>
    </w:p>
    <w:p>
      <w:r>
        <w:t>The strongest next reporting project is a matched comparison of local curricula. It should select districts using stated criteria, preserve editions from several periods and compare the same grade bands wherever possible. Florida can provide a practical starting jurisdiction for the author, but it must not stand for the entire country. Additional settings should be chosen to test the explanation rather than merely repeat it.</w:t>
      </w:r>
    </w:p>
    <w:p>
      <w:r>
        <w:t>A second project should trace influential books through adoption and use. Separate school textbooks, teacher preparation, institutional reading and home reading. Do not rank titles nationally until the evidence supports that ranking. A third project should examine teacher preparation and professional requirements through specific state and occupational records.</w:t>
      </w:r>
    </w:p>
    <w:p>
      <w:r>
        <w:t>Child-protection reporting requires particular care with case status, privacy and the distinction between prevalence and visibility. Future additions should follow institutional responses through to documented outcomes and include the perspectives of affected people only with appropriate consent and context.</w:t>
      </w:r>
    </w:p>
    <w:p>
      <w:r>
        <w:t>The century closes in this edition on September 24, 2026. Subsequent events belong in a dated update or later edition. The companion supplied with the manuscript contains the series plan, source catalog and structured change records so that this work can continue without losing the distinction between an established finding and a question still being investigated.</w:t>
      </w:r>
    </w:p>
    <w:p>
      <w:bookmarkStart w:id="1026" w:name="section_26"/>
      <w:pPr>
        <w:pStyle w:val="Heading1"/>
        <w:pageBreakBefore/>
      </w:pPr>
      <w:r>
        <w:t>Appendix D A documentary reading shelf</w:t>
      </w:r>
      <w:bookmarkEnd w:id="1026"/>
    </w:p>
    <w:p>
      <w:r>
        <w:t>These works illuminate different routes of educational influence. This is an annotated selection of sources examined in the book, not a sales ranking or a claim that every child read them.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3600"/>
        <w:gridCol w:w="3456"/>
        <w:gridCol w:w="2938"/>
      </w:tblGrid>
      <w:tr>
        <w:trPr>
          <w:cantSplit/>
          <w:tblHeader/>
        </w:trPr>
        <w:tc>
          <w:tcPr>
            <w:tcW w:type="dxa" w:w="3600"/>
            <w:vAlign w:val="center"/>
            <w:shd w:fill="243746"/>
          </w:tcPr>
          <w:p>
            <w:pPr>
              <w:spacing w:after="20" w:line="254" w:lineRule="auto"/>
            </w:pPr>
            <w:r>
              <w:rPr>
                <w:b/>
                <w:color w:val="FFFFFF"/>
                <w:sz w:val="24"/>
              </w:rPr>
              <w:t>Work and date</w:t>
            </w:r>
          </w:p>
        </w:tc>
        <w:tc>
          <w:tcPr>
            <w:tcW w:type="dxa" w:w="3456"/>
            <w:vAlign w:val="center"/>
            <w:shd w:fill="243746"/>
          </w:tcPr>
          <w:p>
            <w:pPr>
              <w:spacing w:after="20" w:line="254" w:lineRule="auto"/>
            </w:pPr>
            <w:r>
              <w:rPr>
                <w:b/>
                <w:color w:val="FFFFFF"/>
                <w:sz w:val="24"/>
              </w:rPr>
              <w:t>Why it belongs in this investigation</w:t>
            </w:r>
          </w:p>
        </w:tc>
        <w:tc>
          <w:tcPr>
            <w:tcW w:type="dxa" w:w="2938"/>
            <w:vAlign w:val="center"/>
            <w:shd w:fill="243746"/>
          </w:tcPr>
          <w:p>
            <w:pPr>
              <w:spacing w:after="20" w:line="254" w:lineRule="auto"/>
            </w:pPr>
            <w:r>
              <w:rPr>
                <w:b/>
                <w:color w:val="FFFFFF"/>
                <w:sz w:val="24"/>
              </w:rPr>
              <w:t>Evidence boundary</w:t>
            </w:r>
          </w:p>
        </w:tc>
      </w:tr>
      <w:tr>
        <w:trPr>
          <w:cantSplit/>
        </w:trPr>
        <w:tc>
          <w:tcPr>
            <w:tcW w:type="dxa" w:w="3600"/>
            <w:vAlign w:val="center"/>
            <w:shd w:fill="FFFFFF"/>
          </w:tcPr>
          <w:p>
            <w:pPr>
              <w:spacing w:after="20" w:line="254" w:lineRule="auto"/>
            </w:pPr>
            <w:r>
              <w:rPr>
                <w:b w:val="0"/>
                <w:color w:val="000000"/>
                <w:sz w:val="24"/>
              </w:rPr>
              <w:t>McGuffey revised Second Eclectic Reader with 1879 preface</w:t>
            </w:r>
          </w:p>
        </w:tc>
        <w:tc>
          <w:tcPr>
            <w:tcW w:type="dxa" w:w="3456"/>
            <w:vAlign w:val="center"/>
            <w:shd w:fill="FFFFFF"/>
          </w:tcPr>
          <w:p>
            <w:pPr>
              <w:spacing w:after="20" w:line="254" w:lineRule="auto"/>
            </w:pPr>
            <w:r>
              <w:rPr>
                <w:b w:val="0"/>
                <w:color w:val="000000"/>
                <w:sz w:val="24"/>
              </w:rPr>
              <w:t>Shows lesson preparation, reading exercises and moral content</w:t>
            </w:r>
          </w:p>
        </w:tc>
        <w:tc>
          <w:tcPr>
            <w:tcW w:type="dxa" w:w="2938"/>
            <w:vAlign w:val="center"/>
            <w:shd w:fill="FFFFFF"/>
          </w:tcPr>
          <w:p>
            <w:pPr>
              <w:spacing w:after="20" w:line="254" w:lineRule="auto"/>
            </w:pPr>
            <w:r>
              <w:rPr>
                <w:b w:val="0"/>
                <w:color w:val="000000"/>
                <w:sz w:val="24"/>
              </w:rPr>
              <w:t>One text cannot measure national classroom or home use</w:t>
            </w:r>
          </w:p>
        </w:tc>
      </w:tr>
      <w:tr>
        <w:trPr>
          <w:cantSplit/>
        </w:trPr>
        <w:tc>
          <w:tcPr>
            <w:tcW w:type="dxa" w:w="3600"/>
            <w:vAlign w:val="center"/>
            <w:shd w:fill="F2F5F6"/>
          </w:tcPr>
          <w:p>
            <w:pPr>
              <w:spacing w:after="20" w:line="254" w:lineRule="auto"/>
            </w:pPr>
            <w:r>
              <w:rPr>
                <w:b w:val="0"/>
                <w:color w:val="000000"/>
                <w:sz w:val="24"/>
              </w:rPr>
              <w:t>Democracy and Education in 1916</w:t>
            </w:r>
          </w:p>
        </w:tc>
        <w:tc>
          <w:tcPr>
            <w:tcW w:type="dxa" w:w="3456"/>
            <w:vAlign w:val="center"/>
            <w:shd w:fill="F2F5F6"/>
          </w:tcPr>
          <w:p>
            <w:pPr>
              <w:spacing w:after="20" w:line="254" w:lineRule="auto"/>
            </w:pPr>
            <w:r>
              <w:rPr>
                <w:b w:val="0"/>
                <w:color w:val="000000"/>
                <w:sz w:val="24"/>
              </w:rPr>
              <w:t>Presents Dewey’s educational philosophy</w:t>
            </w:r>
          </w:p>
        </w:tc>
        <w:tc>
          <w:tcPr>
            <w:tcW w:type="dxa" w:w="2938"/>
            <w:vAlign w:val="center"/>
            <w:shd w:fill="F2F5F6"/>
          </w:tcPr>
          <w:p>
            <w:pPr>
              <w:spacing w:after="20" w:line="254" w:lineRule="auto"/>
            </w:pPr>
            <w:r>
              <w:rPr>
                <w:b w:val="0"/>
                <w:color w:val="000000"/>
                <w:sz w:val="24"/>
              </w:rPr>
              <w:t>An argument does not establish uniform adoption</w:t>
            </w:r>
          </w:p>
        </w:tc>
      </w:tr>
      <w:tr>
        <w:trPr>
          <w:cantSplit/>
        </w:trPr>
        <w:tc>
          <w:tcPr>
            <w:tcW w:type="dxa" w:w="3600"/>
            <w:vAlign w:val="center"/>
            <w:shd w:fill="FFFFFF"/>
          </w:tcPr>
          <w:p>
            <w:pPr>
              <w:spacing w:after="20" w:line="254" w:lineRule="auto"/>
            </w:pPr>
            <w:r>
              <w:rPr>
                <w:b w:val="0"/>
                <w:color w:val="000000"/>
                <w:sz w:val="24"/>
              </w:rPr>
              <w:t>The Social Studies in Secondary Education in 1916</w:t>
            </w:r>
          </w:p>
        </w:tc>
        <w:tc>
          <w:tcPr>
            <w:tcW w:type="dxa" w:w="3456"/>
            <w:vAlign w:val="center"/>
            <w:shd w:fill="FFFFFF"/>
          </w:tcPr>
          <w:p>
            <w:pPr>
              <w:spacing w:after="20" w:line="254" w:lineRule="auto"/>
            </w:pPr>
            <w:r>
              <w:rPr>
                <w:b w:val="0"/>
                <w:color w:val="000000"/>
                <w:sz w:val="24"/>
              </w:rPr>
              <w:t>Documents the coexistence of civics and social studies</w:t>
            </w:r>
          </w:p>
        </w:tc>
        <w:tc>
          <w:tcPr>
            <w:tcW w:type="dxa" w:w="2938"/>
            <w:vAlign w:val="center"/>
            <w:shd w:fill="FFFFFF"/>
          </w:tcPr>
          <w:p>
            <w:pPr>
              <w:spacing w:after="20" w:line="254" w:lineRule="auto"/>
            </w:pPr>
            <w:r>
              <w:rPr>
                <w:b w:val="0"/>
                <w:color w:val="000000"/>
                <w:sz w:val="24"/>
              </w:rPr>
              <w:t>A committee proposal is not every district’s timetable</w:t>
            </w:r>
          </w:p>
        </w:tc>
      </w:tr>
      <w:tr>
        <w:trPr>
          <w:cantSplit/>
        </w:trPr>
        <w:tc>
          <w:tcPr>
            <w:tcW w:type="dxa" w:w="3600"/>
            <w:vAlign w:val="center"/>
            <w:shd w:fill="F2F5F6"/>
          </w:tcPr>
          <w:p>
            <w:pPr>
              <w:spacing w:after="20" w:line="254" w:lineRule="auto"/>
            </w:pPr>
            <w:r>
              <w:rPr>
                <w:b w:val="0"/>
                <w:color w:val="000000"/>
                <w:sz w:val="24"/>
              </w:rPr>
              <w:t>Cardinal Principles of Secondary Education in 1918</w:t>
            </w:r>
          </w:p>
        </w:tc>
        <w:tc>
          <w:tcPr>
            <w:tcW w:type="dxa" w:w="3456"/>
            <w:vAlign w:val="center"/>
            <w:shd w:fill="F2F5F6"/>
          </w:tcPr>
          <w:p>
            <w:pPr>
              <w:spacing w:after="20" w:line="254" w:lineRule="auto"/>
            </w:pPr>
            <w:r>
              <w:rPr>
                <w:b w:val="0"/>
                <w:color w:val="000000"/>
                <w:sz w:val="24"/>
              </w:rPr>
              <w:t>Specifies a broad social mission for secondary schooling</w:t>
            </w:r>
          </w:p>
        </w:tc>
        <w:tc>
          <w:tcPr>
            <w:tcW w:type="dxa" w:w="2938"/>
            <w:vAlign w:val="center"/>
            <w:shd w:fill="F2F5F6"/>
          </w:tcPr>
          <w:p>
            <w:pPr>
              <w:spacing w:after="20" w:line="254" w:lineRule="auto"/>
            </w:pPr>
            <w:r>
              <w:rPr>
                <w:b w:val="0"/>
                <w:color w:val="000000"/>
                <w:sz w:val="24"/>
              </w:rPr>
              <w:t>Recommendations require separate implementation evidence</w:t>
            </w:r>
          </w:p>
        </w:tc>
      </w:tr>
      <w:tr>
        <w:trPr>
          <w:cantSplit/>
        </w:trPr>
        <w:tc>
          <w:tcPr>
            <w:tcW w:type="dxa" w:w="3600"/>
            <w:vAlign w:val="center"/>
            <w:shd w:fill="FFFFFF"/>
          </w:tcPr>
          <w:p>
            <w:pPr>
              <w:spacing w:after="20" w:line="254" w:lineRule="auto"/>
            </w:pPr>
            <w:r>
              <w:rPr>
                <w:b w:val="0"/>
                <w:color w:val="000000"/>
                <w:sz w:val="24"/>
              </w:rPr>
              <w:t>Dare the School Build a New Social Order in 1932</w:t>
            </w:r>
          </w:p>
        </w:tc>
        <w:tc>
          <w:tcPr>
            <w:tcW w:type="dxa" w:w="3456"/>
            <w:vAlign w:val="center"/>
            <w:shd w:fill="FFFFFF"/>
          </w:tcPr>
          <w:p>
            <w:pPr>
              <w:spacing w:after="20" w:line="254" w:lineRule="auto"/>
            </w:pPr>
            <w:r>
              <w:rPr>
                <w:b w:val="0"/>
                <w:color w:val="000000"/>
                <w:sz w:val="24"/>
              </w:rPr>
              <w:t>Makes social reconstruction an explicit educational argument</w:t>
            </w:r>
          </w:p>
        </w:tc>
        <w:tc>
          <w:tcPr>
            <w:tcW w:type="dxa" w:w="2938"/>
            <w:vAlign w:val="center"/>
            <w:shd w:fill="FFFFFF"/>
          </w:tcPr>
          <w:p>
            <w:pPr>
              <w:spacing w:after="20" w:line="254" w:lineRule="auto"/>
            </w:pPr>
            <w:r>
              <w:rPr>
                <w:b w:val="0"/>
                <w:color w:val="000000"/>
                <w:sz w:val="24"/>
              </w:rPr>
              <w:t>The scale of practical influence needs institutional records</w:t>
            </w:r>
          </w:p>
        </w:tc>
      </w:tr>
      <w:tr>
        <w:trPr>
          <w:cantSplit/>
        </w:trPr>
        <w:tc>
          <w:tcPr>
            <w:tcW w:type="dxa" w:w="3600"/>
            <w:vAlign w:val="center"/>
            <w:shd w:fill="F2F5F6"/>
          </w:tcPr>
          <w:p>
            <w:pPr>
              <w:spacing w:after="20" w:line="254" w:lineRule="auto"/>
            </w:pPr>
            <w:r>
              <w:rPr>
                <w:b w:val="0"/>
                <w:color w:val="000000"/>
                <w:sz w:val="24"/>
              </w:rPr>
              <w:t>A Nation at Risk in 1983</w:t>
            </w:r>
          </w:p>
        </w:tc>
        <w:tc>
          <w:tcPr>
            <w:tcW w:type="dxa" w:w="3456"/>
            <w:vAlign w:val="center"/>
            <w:shd w:fill="F2F5F6"/>
          </w:tcPr>
          <w:p>
            <w:pPr>
              <w:spacing w:after="20" w:line="254" w:lineRule="auto"/>
            </w:pPr>
            <w:r>
              <w:rPr>
                <w:b w:val="0"/>
                <w:color w:val="000000"/>
                <w:sz w:val="24"/>
              </w:rPr>
              <w:t>Sets out an urgent reform case and a proposed academic core</w:t>
            </w:r>
          </w:p>
        </w:tc>
        <w:tc>
          <w:tcPr>
            <w:tcW w:type="dxa" w:w="2938"/>
            <w:vAlign w:val="center"/>
            <w:shd w:fill="F2F5F6"/>
          </w:tcPr>
          <w:p>
            <w:pPr>
              <w:spacing w:after="20" w:line="254" w:lineRule="auto"/>
            </w:pPr>
            <w:r>
              <w:rPr>
                <w:b w:val="0"/>
                <w:color w:val="000000"/>
                <w:sz w:val="24"/>
              </w:rPr>
              <w:t>Its recommendations and its claims require distinct scrutiny</w:t>
            </w:r>
          </w:p>
        </w:tc>
      </w:tr>
      <w:tr>
        <w:trPr>
          <w:cantSplit/>
        </w:trPr>
        <w:tc>
          <w:tcPr>
            <w:tcW w:type="dxa" w:w="3600"/>
            <w:vAlign w:val="center"/>
            <w:shd w:fill="FFFFFF"/>
          </w:tcPr>
          <w:p>
            <w:pPr>
              <w:spacing w:after="20" w:line="254" w:lineRule="auto"/>
            </w:pPr>
            <w:r>
              <w:rPr>
                <w:b w:val="0"/>
                <w:color w:val="000000"/>
                <w:sz w:val="24"/>
              </w:rPr>
              <w:t>National Reading Panel report in 2000</w:t>
            </w:r>
          </w:p>
        </w:tc>
        <w:tc>
          <w:tcPr>
            <w:tcW w:type="dxa" w:w="3456"/>
            <w:vAlign w:val="center"/>
            <w:shd w:fill="FFFFFF"/>
          </w:tcPr>
          <w:p>
            <w:pPr>
              <w:spacing w:after="20" w:line="254" w:lineRule="auto"/>
            </w:pPr>
            <w:r>
              <w:rPr>
                <w:b w:val="0"/>
                <w:color w:val="000000"/>
                <w:sz w:val="24"/>
              </w:rPr>
              <w:t>Evaluates research on reading instruction</w:t>
            </w:r>
          </w:p>
        </w:tc>
        <w:tc>
          <w:tcPr>
            <w:tcW w:type="dxa" w:w="2938"/>
            <w:vAlign w:val="center"/>
            <w:shd w:fill="FFFFFF"/>
          </w:tcPr>
          <w:p>
            <w:pPr>
              <w:spacing w:after="20" w:line="254" w:lineRule="auto"/>
            </w:pPr>
            <w:r>
              <w:rPr>
                <w:b w:val="0"/>
                <w:color w:val="000000"/>
                <w:sz w:val="24"/>
              </w:rPr>
              <w:t>It does not certify every product that invokes its findings</w:t>
            </w:r>
          </w:p>
        </w:tc>
      </w:tr>
      <w:tr>
        <w:trPr>
          <w:cantSplit/>
        </w:trPr>
        <w:tc>
          <w:tcPr>
            <w:tcW w:type="dxa" w:w="3600"/>
            <w:vAlign w:val="center"/>
            <w:shd w:fill="F2F5F6"/>
          </w:tcPr>
          <w:p>
            <w:pPr>
              <w:spacing w:after="20" w:line="254" w:lineRule="auto"/>
            </w:pPr>
            <w:r>
              <w:rPr>
                <w:b w:val="0"/>
                <w:color w:val="000000"/>
                <w:sz w:val="24"/>
              </w:rPr>
              <w:t>Common Core English language arts standards in 2010</w:t>
            </w:r>
          </w:p>
        </w:tc>
        <w:tc>
          <w:tcPr>
            <w:tcW w:type="dxa" w:w="3456"/>
            <w:vAlign w:val="center"/>
            <w:shd w:fill="F2F5F6"/>
          </w:tcPr>
          <w:p>
            <w:pPr>
              <w:spacing w:after="20" w:line="254" w:lineRule="auto"/>
            </w:pPr>
            <w:r>
              <w:rPr>
                <w:b w:val="0"/>
                <w:color w:val="000000"/>
                <w:sz w:val="24"/>
              </w:rPr>
              <w:t>Defines learning expectations across literacy domains</w:t>
            </w:r>
          </w:p>
        </w:tc>
        <w:tc>
          <w:tcPr>
            <w:tcW w:type="dxa" w:w="2938"/>
            <w:vAlign w:val="center"/>
            <w:shd w:fill="F2F5F6"/>
          </w:tcPr>
          <w:p>
            <w:pPr>
              <w:spacing w:after="20" w:line="254" w:lineRule="auto"/>
            </w:pPr>
            <w:r>
              <w:rPr>
                <w:b w:val="0"/>
                <w:color w:val="000000"/>
                <w:sz w:val="24"/>
              </w:rPr>
              <w:t>Standards do not supply a complete local curriculum</w:t>
            </w:r>
          </w:p>
        </w:tc>
      </w:tr>
    </w:tbl>
    <w:p>
      <w:pPr>
        <w:spacing w:after="40"/>
      </w:pPr>
    </w:p>
    <w:p>
      <w:bookmarkStart w:id="1027" w:name="section_27"/>
      <w:pPr>
        <w:pStyle w:val="Heading1"/>
        <w:pageBreakBefore/>
      </w:pPr>
      <w:r>
        <w:t>Appendix E Questions for discussion and reporting</w:t>
      </w:r>
      <w:bookmarkEnd w:id="1027"/>
    </w:p>
    <w:p>
      <w:r>
        <w:t>1. Which change in the timeline altered legal authority, and which changed only a recommendation? Explain why the difference matters.</w:t>
      </w:r>
    </w:p>
    <w:p>
      <w:r>
        <w:t>2. What evidence would demonstrate that a school reduced constitutional instruction even if its course title remained unchanged?</w:t>
      </w:r>
    </w:p>
    <w:p>
      <w:r>
        <w:t>3. Choose one reformer’s stated purpose. Which record would establish adoption, and which would establish consequences for students?</w:t>
      </w:r>
    </w:p>
    <w:p>
      <w:r>
        <w:t>4. Compare the promise of a professional credential with the process used to award it. What does the credential leave unmeasured?</w:t>
      </w:r>
    </w:p>
    <w:p>
      <w:r>
        <w:t>5. What changes in reporting could increase recorded complaints without establishing an increase in underlying misconduct?</w:t>
      </w:r>
    </w:p>
    <w:p>
      <w:r>
        <w:t>6. How can increased access and disappointing test results both be true? Identify the population and measure in each claim.</w:t>
      </w:r>
    </w:p>
    <w:p>
      <w:r>
        <w:t>7. Which finding in this book most challenges your starting view? What further evidence could reasonably change your conclusion?</w:t>
      </w:r>
    </w:p>
    <w:p>
      <w:r>
        <w:t>8. Choose a school subject and one local institution. Define an earlier date, a later date, a comparable age group and the documents needed to reconstruct what students actually encountered.</w:t>
      </w:r>
    </w:p>
    <w:p>
      <w:r>
        <w:t>These prompts are invitations to use evidence, not answer keys for a preferred political conclusion. A strong response names its source, explains the connection and states the boundary of what the evidence establishes.</w:t>
      </w:r>
    </w:p>
    <w:p>
      <w:bookmarkStart w:id="1028" w:name="section_28"/>
      <w:pPr>
        <w:pStyle w:val="Heading1"/>
        <w:pageBreakBefore/>
      </w:pPr>
      <w:r>
        <w:t>Source notes</w:t>
      </w:r>
      <w:bookmarkEnd w:id="1028"/>
    </w:p>
    <w:p>
      <w:r>
        <w:t>Numbered notes identify the records supporting the adjacent claims. Sources were consulted September 23–24, 2026. Historical document dates are distinguished from later catalog or webpage dates. The companion source catalog provides complete links and record types.</w:t>
      </w:r>
    </w:p>
    <w:p>
      <w:bookmarkStart w:id="2001" w:name="note_1"/>
      <w:pPr>
        <w:keepLines/>
        <w:spacing w:after="140" w:line="254" w:lineRule="auto"/>
      </w:pPr>
      <w:bookmarkEnd w:id="2001"/>
      <w:r>
        <w:rPr>
          <w:sz w:val="24"/>
        </w:rPr>
        <w:t xml:space="preserve">1. Continental Congress, Northwest Ordinance (July 13, 1787), Article III. </w:t>
      </w:r>
      <w:hyperlink r:id="rId11">
        <w:r>
          <w:rPr>
            <w:color w:val="000000"/>
          </w:rPr>
          <w:t>Source</w:t>
        </w:r>
      </w:hyperlink>
    </w:p>
    <w:p>
      <w:bookmarkStart w:id="2002" w:name="note_2"/>
      <w:pPr>
        <w:keepLines/>
        <w:spacing w:after="140" w:line="254" w:lineRule="auto"/>
      </w:pPr>
      <w:bookmarkEnd w:id="2002"/>
      <w:r>
        <w:rPr>
          <w:sz w:val="24"/>
        </w:rPr>
        <w:t xml:space="preserve">2. Smithsonian National Museum of American History, McGuffey’s Second Eclectic Reader Revised Edition 1920 (n.d.), Object description and publication history. </w:t>
      </w:r>
      <w:hyperlink r:id="rId12">
        <w:r>
          <w:rPr>
            <w:color w:val="000000"/>
          </w:rPr>
          <w:t>Source</w:t>
        </w:r>
      </w:hyperlink>
    </w:p>
    <w:p>
      <w:bookmarkStart w:id="2003" w:name="note_3"/>
      <w:pPr>
        <w:keepLines/>
        <w:spacing w:after="140" w:line="254" w:lineRule="auto"/>
      </w:pPr>
      <w:bookmarkEnd w:id="2003"/>
      <w:r>
        <w:rPr>
          <w:sz w:val="24"/>
        </w:rPr>
        <w:t xml:space="preserve">3. National Education Association Commission on the Reorganization of Secondary Education, Cardinal Principles of Secondary Education (1918), Bureau of Education Bulletin 1918 no. 35, sections III, IV and XVI. </w:t>
      </w:r>
      <w:hyperlink r:id="rId13">
        <w:r>
          <w:rPr>
            <w:color w:val="000000"/>
          </w:rPr>
          <w:t>Source</w:t>
        </w:r>
      </w:hyperlink>
    </w:p>
    <w:p>
      <w:bookmarkStart w:id="2004" w:name="note_4"/>
      <w:pPr>
        <w:keepLines/>
        <w:spacing w:after="140" w:line="254" w:lineRule="auto"/>
      </w:pPr>
      <w:bookmarkEnd w:id="2004"/>
      <w:r>
        <w:rPr>
          <w:sz w:val="24"/>
        </w:rPr>
        <w:t xml:space="preserve">4. United States Department of the Interior, Bureau of Indian Affairs, Federal Indian Boarding School Initiative (n.d.), 2022 and July 2024 investigative reports. </w:t>
      </w:r>
      <w:hyperlink r:id="rId14">
        <w:r>
          <w:rPr>
            <w:color w:val="000000"/>
          </w:rPr>
          <w:t>Source</w:t>
        </w:r>
      </w:hyperlink>
    </w:p>
    <w:p>
      <w:bookmarkStart w:id="2005" w:name="note_5"/>
      <w:pPr>
        <w:keepLines/>
        <w:spacing w:after="140" w:line="254" w:lineRule="auto"/>
      </w:pPr>
      <w:bookmarkEnd w:id="2005"/>
      <w:r>
        <w:rPr>
          <w:sz w:val="24"/>
        </w:rPr>
        <w:t xml:space="preserve">5. National Commission on Excellence in Education, A Nation at Risk The Imperative for Educational Reform (April 1983), Findings and recommendations. </w:t>
      </w:r>
      <w:hyperlink r:id="rId15">
        <w:r>
          <w:rPr>
            <w:color w:val="000000"/>
          </w:rPr>
          <w:t>Source</w:t>
        </w:r>
      </w:hyperlink>
    </w:p>
    <w:p>
      <w:bookmarkStart w:id="2006" w:name="note_6"/>
      <w:pPr>
        <w:keepLines/>
        <w:spacing w:after="140" w:line="254" w:lineRule="auto"/>
      </w:pPr>
      <w:bookmarkEnd w:id="2006"/>
      <w:r>
        <w:rPr>
          <w:sz w:val="24"/>
        </w:rPr>
        <w:t xml:space="preserve">6. United States House of Representatives, History Art and Archives, National Defense Education Act (n.d.), 1958 legislation and institutional historical description. </w:t>
      </w:r>
      <w:hyperlink r:id="rId16">
        <w:r>
          <w:rPr>
            <w:color w:val="000000"/>
          </w:rPr>
          <w:t>Source</w:t>
        </w:r>
      </w:hyperlink>
    </w:p>
    <w:p>
      <w:bookmarkStart w:id="2007" w:name="note_7"/>
      <w:pPr>
        <w:keepLines/>
        <w:spacing w:after="140" w:line="254" w:lineRule="auto"/>
      </w:pPr>
      <w:bookmarkEnd w:id="2007"/>
      <w:r>
        <w:rPr>
          <w:sz w:val="24"/>
        </w:rPr>
        <w:t xml:space="preserve">7. Supreme Court of the United States, Brown v Board of Education (May 17, 1954), 347 U.S. 483; opinion and archival transcription. </w:t>
      </w:r>
      <w:hyperlink r:id="rId17">
        <w:r>
          <w:rPr>
            <w:color w:val="000000"/>
          </w:rPr>
          <w:t>Source</w:t>
        </w:r>
      </w:hyperlink>
    </w:p>
    <w:p>
      <w:bookmarkStart w:id="2008" w:name="note_8"/>
      <w:pPr>
        <w:keepLines/>
        <w:spacing w:after="140" w:line="254" w:lineRule="auto"/>
      </w:pPr>
      <w:bookmarkEnd w:id="2008"/>
      <w:r>
        <w:rPr>
          <w:sz w:val="24"/>
        </w:rPr>
        <w:t xml:space="preserve">8. United States Congress, Civil Rights Act of 1964 (July 2, 1964), Titles IV and VI. </w:t>
      </w:r>
      <w:hyperlink r:id="rId18">
        <w:r>
          <w:rPr>
            <w:color w:val="000000"/>
          </w:rPr>
          <w:t>Source</w:t>
        </w:r>
      </w:hyperlink>
    </w:p>
    <w:p>
      <w:bookmarkStart w:id="2009" w:name="note_9"/>
      <w:pPr>
        <w:keepLines/>
        <w:spacing w:after="140" w:line="254" w:lineRule="auto"/>
      </w:pPr>
      <w:bookmarkEnd w:id="2009"/>
      <w:r>
        <w:rPr>
          <w:sz w:val="24"/>
        </w:rPr>
        <w:t xml:space="preserve">9. Arthur William Dunn, compiler, The Social Studies in Secondary Education (1916), Bureau of Education Bulletin 1916 no. 28, printed pp. 9–13 and contents. </w:t>
      </w:r>
      <w:hyperlink r:id="rId19">
        <w:r>
          <w:rPr>
            <w:color w:val="000000"/>
          </w:rPr>
          <w:t>Source</w:t>
        </w:r>
      </w:hyperlink>
    </w:p>
    <w:p>
      <w:bookmarkStart w:id="2010" w:name="note_10"/>
      <w:pPr>
        <w:keepLines/>
        <w:spacing w:after="140" w:line="254" w:lineRule="auto"/>
      </w:pPr>
      <w:bookmarkEnd w:id="2010"/>
      <w:r>
        <w:rPr>
          <w:sz w:val="24"/>
        </w:rPr>
        <w:t xml:space="preserve">10. National Center for Education Statistics, What Does the NAEP Civics Assessment Measure (n.d.), 2022 assessment framework description. </w:t>
      </w:r>
      <w:hyperlink r:id="rId20">
        <w:r>
          <w:rPr>
            <w:color w:val="000000"/>
          </w:rPr>
          <w:t>Source</w:t>
        </w:r>
      </w:hyperlink>
    </w:p>
    <w:p>
      <w:bookmarkStart w:id="2011" w:name="note_11"/>
      <w:pPr>
        <w:keepLines/>
        <w:spacing w:after="140" w:line="254" w:lineRule="auto"/>
      </w:pPr>
      <w:bookmarkEnd w:id="2011"/>
      <w:r>
        <w:rPr>
          <w:sz w:val="24"/>
        </w:rPr>
        <w:t xml:space="preserve">11. John Dewey, Democracy and Education (1916), Chapters 7 and 16; electronic transcription. </w:t>
      </w:r>
      <w:hyperlink r:id="rId21">
        <w:r>
          <w:rPr>
            <w:color w:val="000000"/>
          </w:rPr>
          <w:t>Source</w:t>
        </w:r>
      </w:hyperlink>
    </w:p>
    <w:p>
      <w:bookmarkStart w:id="2012" w:name="note_12"/>
      <w:pPr>
        <w:keepLines/>
        <w:spacing w:after="140" w:line="254" w:lineRule="auto"/>
      </w:pPr>
      <w:bookmarkEnd w:id="2012"/>
      <w:r>
        <w:rPr>
          <w:sz w:val="24"/>
        </w:rPr>
        <w:t xml:space="preserve">12. George S. Counts, Dare the School Build a New Social Order (1932), New York: John Day, 1932, printed pp. 28–29 and 47–50. </w:t>
      </w:r>
      <w:hyperlink r:id="rId22">
        <w:r>
          <w:rPr>
            <w:color w:val="000000"/>
          </w:rPr>
          <w:t>Source</w:t>
        </w:r>
      </w:hyperlink>
    </w:p>
    <w:p>
      <w:bookmarkStart w:id="2013" w:name="note_13"/>
      <w:pPr>
        <w:keepLines/>
        <w:spacing w:after="140" w:line="254" w:lineRule="auto"/>
      </w:pPr>
      <w:bookmarkEnd w:id="2013"/>
      <w:r>
        <w:rPr>
          <w:sz w:val="24"/>
        </w:rPr>
        <w:t xml:space="preserve">13. National Reading Panel, Report of the National Reading Panel Findings and Determinations by Topic Areas (April 2000), Phonics, fluency and comprehension sections. </w:t>
      </w:r>
      <w:hyperlink r:id="rId23">
        <w:r>
          <w:rPr>
            <w:color w:val="000000"/>
          </w:rPr>
          <w:t>Source</w:t>
        </w:r>
      </w:hyperlink>
    </w:p>
    <w:p>
      <w:bookmarkStart w:id="2014" w:name="note_14"/>
      <w:pPr>
        <w:keepLines/>
        <w:spacing w:after="140" w:line="254" w:lineRule="auto"/>
      </w:pPr>
      <w:bookmarkEnd w:id="2014"/>
      <w:r>
        <w:rPr>
          <w:sz w:val="24"/>
        </w:rPr>
        <w:t xml:space="preserve">14. William Holmes McGuffey series, revised edition, McGuffey’s Second Eclectic Reader (Preface dated June 1879; later copyright notices in transcribed edition), Preface and Lesson XXIII, The Torn Doll; Project Gutenberg transcription. </w:t>
      </w:r>
      <w:hyperlink r:id="rId24">
        <w:r>
          <w:rPr>
            <w:color w:val="000000"/>
          </w:rPr>
          <w:t>Source</w:t>
        </w:r>
      </w:hyperlink>
    </w:p>
    <w:p>
      <w:bookmarkStart w:id="2015" w:name="note_15"/>
      <w:pPr>
        <w:keepLines/>
        <w:spacing w:after="140" w:line="254" w:lineRule="auto"/>
      </w:pPr>
      <w:bookmarkEnd w:id="2015"/>
      <w:r>
        <w:rPr>
          <w:sz w:val="24"/>
        </w:rPr>
        <w:t xml:space="preserve">15. National Governors Association Center for Best Practices and Council of Chief State School Officers, Common Core State Standards for English Language Arts and Literacy in History Social Studies Science and Technical Subjects (June 2, 2010), Main standards document served at this URL when consulted; printed pp. 3–6, introduction and scope. </w:t>
      </w:r>
      <w:hyperlink r:id="rId25">
        <w:r>
          <w:rPr>
            <w:color w:val="000000"/>
          </w:rPr>
          <w:t>Source</w:t>
        </w:r>
      </w:hyperlink>
    </w:p>
    <w:p>
      <w:bookmarkStart w:id="2016" w:name="note_16"/>
      <w:pPr>
        <w:keepLines/>
        <w:spacing w:after="140" w:line="254" w:lineRule="auto"/>
      </w:pPr>
      <w:bookmarkEnd w:id="2016"/>
      <w:r>
        <w:rPr>
          <w:sz w:val="24"/>
        </w:rPr>
        <w:t xml:space="preserve">16. Supreme Court of the United States, Brown v Board of Education. 347 U.S. 483; opinion and archival transcription. </w:t>
      </w:r>
      <w:hyperlink r:id="rId17">
        <w:r>
          <w:rPr>
            <w:color w:val="000000"/>
          </w:rPr>
          <w:t>Source</w:t>
        </w:r>
      </w:hyperlink>
    </w:p>
    <w:p>
      <w:bookmarkStart w:id="2017" w:name="note_17"/>
      <w:pPr>
        <w:keepLines/>
        <w:spacing w:after="140" w:line="254" w:lineRule="auto"/>
      </w:pPr>
      <w:bookmarkEnd w:id="2017"/>
      <w:r>
        <w:rPr>
          <w:sz w:val="24"/>
        </w:rPr>
        <w:t xml:space="preserve">17. New York State Education Department, Regents Examination in United States History and Government (January 27, 1998), Cover and printed pp. 2, 9–11; original examination scan. </w:t>
      </w:r>
      <w:hyperlink r:id="rId26">
        <w:r>
          <w:rPr>
            <w:color w:val="000000"/>
          </w:rPr>
          <w:t>Source</w:t>
        </w:r>
      </w:hyperlink>
    </w:p>
    <w:p>
      <w:bookmarkStart w:id="2018" w:name="note_18"/>
      <w:pPr>
        <w:keepLines/>
        <w:spacing w:after="140" w:line="254" w:lineRule="auto"/>
      </w:pPr>
      <w:bookmarkEnd w:id="2018"/>
      <w:r>
        <w:rPr>
          <w:sz w:val="24"/>
        </w:rPr>
        <w:t xml:space="preserve">18. New York State Education Department, Regents Examination in United States History and Government (January 22, 2025), Cover and printed pp. 3, 17, 21–24 and 31. </w:t>
      </w:r>
      <w:hyperlink r:id="rId27">
        <w:r>
          <w:rPr>
            <w:color w:val="000000"/>
          </w:rPr>
          <w:t>Source</w:t>
        </w:r>
      </w:hyperlink>
    </w:p>
    <w:p>
      <w:bookmarkStart w:id="2019" w:name="note_19"/>
      <w:pPr>
        <w:keepLines/>
        <w:spacing w:after="140" w:line="254" w:lineRule="auto"/>
      </w:pPr>
      <w:bookmarkEnd w:id="2019"/>
      <w:r>
        <w:rPr>
          <w:sz w:val="24"/>
        </w:rPr>
        <w:t xml:space="preserve">19. National Science Foundation, The National Science Foundation A Brief History (n.d.), Sputnik and curriculum development discussion. </w:t>
      </w:r>
      <w:hyperlink r:id="rId28">
        <w:r>
          <w:rPr>
            <w:color w:val="000000"/>
          </w:rPr>
          <w:t>Source</w:t>
        </w:r>
      </w:hyperlink>
    </w:p>
    <w:p>
      <w:bookmarkStart w:id="2020" w:name="note_20"/>
      <w:pPr>
        <w:keepLines/>
        <w:spacing w:after="140" w:line="254" w:lineRule="auto"/>
      </w:pPr>
      <w:bookmarkEnd w:id="2020"/>
      <w:r>
        <w:rPr>
          <w:sz w:val="24"/>
        </w:rPr>
        <w:t xml:space="preserve">20. National Center for Education Statistics, 2024 NAEP Mathematics Results (2025), Grade 4 national results. </w:t>
      </w:r>
      <w:hyperlink r:id="rId29">
        <w:r>
          <w:rPr>
            <w:color w:val="000000"/>
          </w:rPr>
          <w:t>Source</w:t>
        </w:r>
      </w:hyperlink>
    </w:p>
    <w:p>
      <w:bookmarkStart w:id="2021" w:name="note_21"/>
      <w:pPr>
        <w:keepLines/>
        <w:spacing w:after="140" w:line="254" w:lineRule="auto"/>
      </w:pPr>
      <w:bookmarkEnd w:id="2021"/>
      <w:r>
        <w:rPr>
          <w:sz w:val="24"/>
        </w:rPr>
        <w:t xml:space="preserve">21. Supreme Court of the United States, Engel v Vitale (1962), 370 U.S. 421. </w:t>
      </w:r>
      <w:hyperlink r:id="rId30">
        <w:r>
          <w:rPr>
            <w:color w:val="000000"/>
          </w:rPr>
          <w:t>Source</w:t>
        </w:r>
      </w:hyperlink>
    </w:p>
    <w:p>
      <w:bookmarkStart w:id="2022" w:name="note_22"/>
      <w:pPr>
        <w:keepLines/>
        <w:spacing w:after="140" w:line="254" w:lineRule="auto"/>
      </w:pPr>
      <w:bookmarkEnd w:id="2022"/>
      <w:r>
        <w:rPr>
          <w:sz w:val="24"/>
        </w:rPr>
        <w:t xml:space="preserve">22. Supreme Court of the United States, Abington School District v Schempp (1963), 374 U.S. 203. </w:t>
      </w:r>
      <w:hyperlink r:id="rId31">
        <w:r>
          <w:rPr>
            <w:color w:val="000000"/>
          </w:rPr>
          <w:t>Source</w:t>
        </w:r>
      </w:hyperlink>
    </w:p>
    <w:p>
      <w:bookmarkStart w:id="2023" w:name="note_23"/>
      <w:pPr>
        <w:keepLines/>
        <w:spacing w:after="140" w:line="254" w:lineRule="auto"/>
      </w:pPr>
      <w:bookmarkEnd w:id="2023"/>
      <w:r>
        <w:rPr>
          <w:sz w:val="24"/>
        </w:rPr>
        <w:t xml:space="preserve">23. Supreme Court of the United States, West Virginia State Board of Education v Barnette (1943), 319 U.S. 624. </w:t>
      </w:r>
      <w:hyperlink r:id="rId32">
        <w:r>
          <w:rPr>
            <w:color w:val="000000"/>
          </w:rPr>
          <w:t>Source</w:t>
        </w:r>
      </w:hyperlink>
    </w:p>
    <w:p>
      <w:bookmarkStart w:id="2024" w:name="note_24"/>
      <w:pPr>
        <w:keepLines/>
        <w:spacing w:after="140" w:line="254" w:lineRule="auto"/>
      </w:pPr>
      <w:bookmarkEnd w:id="2024"/>
      <w:r>
        <w:rPr>
          <w:sz w:val="24"/>
        </w:rPr>
        <w:t xml:space="preserve">24. United States Government Accountability Office, K–12 Education Department of Education Should Provide Information on Equity and Safety in School Dress Codes (October 25, 2022), GAO–23–105348, highlights and methodology. </w:t>
      </w:r>
      <w:hyperlink r:id="rId33">
        <w:r>
          <w:rPr>
            <w:color w:val="000000"/>
          </w:rPr>
          <w:t>Source</w:t>
        </w:r>
      </w:hyperlink>
    </w:p>
    <w:p>
      <w:bookmarkStart w:id="2025" w:name="note_25"/>
      <w:pPr>
        <w:keepLines/>
        <w:spacing w:after="140" w:line="254" w:lineRule="auto"/>
      </w:pPr>
      <w:bookmarkEnd w:id="2025"/>
      <w:r>
        <w:rPr>
          <w:sz w:val="24"/>
        </w:rPr>
        <w:t xml:space="preserve">25. Supreme Court of the United States, Tinker v Des Moines Independent Community School District (1969), 393 U.S. 503. </w:t>
      </w:r>
      <w:hyperlink r:id="rId34">
        <w:r>
          <w:rPr>
            <w:color w:val="000000"/>
          </w:rPr>
          <w:t>Source</w:t>
        </w:r>
      </w:hyperlink>
    </w:p>
    <w:p>
      <w:bookmarkStart w:id="2026" w:name="note_26"/>
      <w:pPr>
        <w:keepLines/>
        <w:spacing w:after="140" w:line="254" w:lineRule="auto"/>
      </w:pPr>
      <w:bookmarkEnd w:id="2026"/>
      <w:r>
        <w:rPr>
          <w:sz w:val="24"/>
        </w:rPr>
        <w:t xml:space="preserve">26. John F Kennedy Presidential Library and Museum, Council on Youth Fitness The Soft American (December 26, 1960–March 7, 1961, and undated), President’s Office Files, folder 094–003. </w:t>
      </w:r>
      <w:hyperlink r:id="rId35">
        <w:r>
          <w:rPr>
            <w:color w:val="000000"/>
          </w:rPr>
          <w:t>Source</w:t>
        </w:r>
      </w:hyperlink>
    </w:p>
    <w:p>
      <w:bookmarkStart w:id="2027" w:name="note_27"/>
      <w:pPr>
        <w:keepLines/>
        <w:spacing w:after="140" w:line="254" w:lineRule="auto"/>
      </w:pPr>
      <w:bookmarkEnd w:id="2027"/>
      <w:r>
        <w:rPr>
          <w:sz w:val="24"/>
        </w:rPr>
        <w:t xml:space="preserve">27. National Education Association Commission on the Reorganization of Secondary Education, Cardinal Principles of Secondary Education. Bureau of Education Bulletin 1918 no. 35, sections III, IV and XVI. </w:t>
      </w:r>
      <w:hyperlink r:id="rId13">
        <w:r>
          <w:rPr>
            <w:color w:val="000000"/>
          </w:rPr>
          <w:t>Source</w:t>
        </w:r>
      </w:hyperlink>
    </w:p>
    <w:p>
      <w:bookmarkStart w:id="2028" w:name="note_28"/>
      <w:pPr>
        <w:keepLines/>
        <w:spacing w:after="140" w:line="254" w:lineRule="auto"/>
      </w:pPr>
      <w:bookmarkEnd w:id="2028"/>
      <w:r>
        <w:rPr>
          <w:sz w:val="24"/>
        </w:rPr>
        <w:t xml:space="preserve">28. National Archives and Records Administration, Legislation and Advocacy (n.d.), Education Amendments of 1972 and Title IX. </w:t>
      </w:r>
      <w:hyperlink r:id="rId36">
        <w:r>
          <w:rPr>
            <w:color w:val="000000"/>
          </w:rPr>
          <w:t>Source</w:t>
        </w:r>
      </w:hyperlink>
    </w:p>
    <w:p>
      <w:bookmarkStart w:id="2029" w:name="note_29"/>
      <w:pPr>
        <w:keepLines/>
        <w:spacing w:after="140" w:line="254" w:lineRule="auto"/>
      </w:pPr>
      <w:bookmarkEnd w:id="2029"/>
      <w:r>
        <w:rPr>
          <w:sz w:val="24"/>
        </w:rPr>
        <w:t xml:space="preserve">29. National Archives and Records Administration, Records of the Office of Education (n.d.), Federal Board for Vocational Education historical description. </w:t>
      </w:r>
      <w:hyperlink r:id="rId37">
        <w:r>
          <w:rPr>
            <w:color w:val="000000"/>
          </w:rPr>
          <w:t>Source</w:t>
        </w:r>
      </w:hyperlink>
    </w:p>
    <w:p>
      <w:bookmarkStart w:id="2030" w:name="note_30"/>
      <w:pPr>
        <w:keepLines/>
        <w:spacing w:after="140" w:line="254" w:lineRule="auto"/>
      </w:pPr>
      <w:bookmarkEnd w:id="2030"/>
      <w:r>
        <w:rPr>
          <w:sz w:val="24"/>
        </w:rPr>
        <w:t xml:space="preserve">30. American Association of Family and Consumer Sciences, AAFCS and FCS FAQ (n.d.), What happened to the old home economics and how is FCS different. </w:t>
      </w:r>
      <w:hyperlink r:id="rId38">
        <w:r>
          <w:rPr>
            <w:color w:val="000000"/>
          </w:rPr>
          <w:t>Source</w:t>
        </w:r>
      </w:hyperlink>
    </w:p>
    <w:p>
      <w:bookmarkStart w:id="2031" w:name="note_31"/>
      <w:pPr>
        <w:keepLines/>
        <w:spacing w:after="140" w:line="254" w:lineRule="auto"/>
      </w:pPr>
      <w:bookmarkEnd w:id="2031"/>
      <w:r>
        <w:rPr>
          <w:sz w:val="24"/>
        </w:rPr>
        <w:t xml:space="preserve">31. United States Department of Labor, Apprenticeship Act Allows Labor Department to Oversee On the Job Training (August 16, 1937 historical event), Historical timeline entry. </w:t>
      </w:r>
      <w:hyperlink r:id="rId39">
        <w:r>
          <w:rPr>
            <w:color w:val="000000"/>
          </w:rPr>
          <w:t>Source</w:t>
        </w:r>
      </w:hyperlink>
    </w:p>
    <w:p>
      <w:bookmarkStart w:id="2032" w:name="note_32"/>
      <w:pPr>
        <w:keepLines/>
        <w:spacing w:after="140" w:line="254" w:lineRule="auto"/>
      </w:pPr>
      <w:bookmarkEnd w:id="2032"/>
      <w:r>
        <w:rPr>
          <w:sz w:val="24"/>
        </w:rPr>
        <w:t xml:space="preserve">32. United States Department of Education, Office of Career Technical and Adult Education, Perkins V (n.d.), July 31, 2018 enactment. </w:t>
      </w:r>
      <w:hyperlink r:id="rId40">
        <w:r>
          <w:rPr>
            <w:color w:val="000000"/>
          </w:rPr>
          <w:t>Source</w:t>
        </w:r>
      </w:hyperlink>
    </w:p>
    <w:p>
      <w:bookmarkStart w:id="2033" w:name="note_33"/>
      <w:pPr>
        <w:keepLines/>
        <w:spacing w:after="140" w:line="254" w:lineRule="auto"/>
      </w:pPr>
      <w:bookmarkEnd w:id="2033"/>
      <w:r>
        <w:rPr>
          <w:sz w:val="24"/>
        </w:rPr>
        <w:t xml:space="preserve">33. National Commission on Excellence in Education, A Nation at Risk The Imperative for Educational Reform. Findings and recommendations. </w:t>
      </w:r>
      <w:hyperlink r:id="rId15">
        <w:r>
          <w:rPr>
            <w:color w:val="000000"/>
          </w:rPr>
          <w:t>Source</w:t>
        </w:r>
      </w:hyperlink>
    </w:p>
    <w:p>
      <w:bookmarkStart w:id="2034" w:name="note_34"/>
      <w:pPr>
        <w:keepLines/>
        <w:spacing w:after="140" w:line="254" w:lineRule="auto"/>
      </w:pPr>
      <w:bookmarkEnd w:id="2034"/>
      <w:r>
        <w:rPr>
          <w:sz w:val="24"/>
        </w:rPr>
        <w:t xml:space="preserve">34. Massachusetts College of Liberal Arts, The College and Its History (2025–2026 Academic Catalog), Historical names and institutional mission, 1894, 1932, 1960 and 1997. </w:t>
      </w:r>
      <w:hyperlink r:id="rId41">
        <w:r>
          <w:rPr>
            <w:color w:val="000000"/>
          </w:rPr>
          <w:t>Source</w:t>
        </w:r>
      </w:hyperlink>
    </w:p>
    <w:p>
      <w:bookmarkStart w:id="2035" w:name="note_35"/>
      <w:pPr>
        <w:keepLines/>
        <w:spacing w:after="140" w:line="254" w:lineRule="auto"/>
      </w:pPr>
      <w:bookmarkEnd w:id="2035"/>
      <w:r>
        <w:rPr>
          <w:sz w:val="24"/>
        </w:rPr>
        <w:t xml:space="preserve">35. National Council of Examiners for Engineering and Surveying, About NCEES (n.d.), History timeline, 1907 and 1920. </w:t>
      </w:r>
      <w:hyperlink r:id="rId42">
        <w:r>
          <w:rPr>
            <w:color w:val="000000"/>
          </w:rPr>
          <w:t>Source</w:t>
        </w:r>
      </w:hyperlink>
    </w:p>
    <w:p>
      <w:bookmarkStart w:id="2036" w:name="note_36"/>
      <w:pPr>
        <w:keepLines/>
        <w:spacing w:after="140" w:line="254" w:lineRule="auto"/>
      </w:pPr>
      <w:bookmarkEnd w:id="2036"/>
      <w:r>
        <w:rPr>
          <w:sz w:val="24"/>
        </w:rPr>
        <w:t xml:space="preserve">36. National Council of State Boards of Nursing, NCSBN Timeline 1986 to 1994 (n.d.), 1994 computerized adaptive testing. </w:t>
      </w:r>
      <w:hyperlink r:id="rId43">
        <w:r>
          <w:rPr>
            <w:color w:val="000000"/>
          </w:rPr>
          <w:t>Source</w:t>
        </w:r>
      </w:hyperlink>
    </w:p>
    <w:p>
      <w:bookmarkStart w:id="2037" w:name="note_37"/>
      <w:pPr>
        <w:keepLines/>
        <w:spacing w:after="140" w:line="254" w:lineRule="auto"/>
      </w:pPr>
      <w:bookmarkEnd w:id="2037"/>
      <w:r>
        <w:rPr>
          <w:sz w:val="24"/>
        </w:rPr>
        <w:t xml:space="preserve">37. Abraham Flexner, Medical Education in the United States and Canada (1910), Carnegie Foundation Bulletin 4, medical education recommendations. </w:t>
      </w:r>
      <w:hyperlink r:id="rId44">
        <w:r>
          <w:rPr>
            <w:color w:val="000000"/>
          </w:rPr>
          <w:t>Source</w:t>
        </w:r>
      </w:hyperlink>
    </w:p>
    <w:p>
      <w:bookmarkStart w:id="2038" w:name="note_38"/>
      <w:pPr>
        <w:keepLines/>
        <w:spacing w:after="140" w:line="254" w:lineRule="auto"/>
      </w:pPr>
      <w:bookmarkEnd w:id="2038"/>
      <w:r>
        <w:rPr>
          <w:sz w:val="24"/>
        </w:rPr>
        <w:t xml:space="preserve">38. United States Department of Education, A History of the Individuals With Disabilities Education Act (n.d.), 1975 enactment and subsequent amendments. </w:t>
      </w:r>
      <w:hyperlink r:id="rId45">
        <w:r>
          <w:rPr>
            <w:color w:val="000000"/>
          </w:rPr>
          <w:t>Source</w:t>
        </w:r>
      </w:hyperlink>
    </w:p>
    <w:p>
      <w:bookmarkStart w:id="2039" w:name="note_39"/>
      <w:pPr>
        <w:keepLines/>
        <w:spacing w:after="140" w:line="254" w:lineRule="auto"/>
      </w:pPr>
      <w:bookmarkEnd w:id="2039"/>
      <w:r>
        <w:rPr>
          <w:sz w:val="24"/>
        </w:rPr>
        <w:t xml:space="preserve">39. United States Congress, Servicemen’s Readjustment Act (June 22, 1944), Education and training provisions. </w:t>
      </w:r>
      <w:hyperlink r:id="rId46">
        <w:r>
          <w:rPr>
            <w:color w:val="000000"/>
          </w:rPr>
          <w:t>Source</w:t>
        </w:r>
      </w:hyperlink>
    </w:p>
    <w:p>
      <w:bookmarkStart w:id="2040" w:name="note_40"/>
      <w:pPr>
        <w:keepLines/>
        <w:spacing w:after="140" w:line="254" w:lineRule="auto"/>
      </w:pPr>
      <w:bookmarkEnd w:id="2040"/>
      <w:r>
        <w:rPr>
          <w:sz w:val="24"/>
        </w:rPr>
        <w:t xml:space="preserve">40. United States Department of Education, Every Student Succeeds Act A New Education Law (n.d.), ESEA, NCLB and ESSA historical overview. </w:t>
      </w:r>
      <w:hyperlink r:id="rId47">
        <w:r>
          <w:rPr>
            <w:color w:val="000000"/>
          </w:rPr>
          <w:t>Source</w:t>
        </w:r>
      </w:hyperlink>
    </w:p>
    <w:p>
      <w:bookmarkStart w:id="2041" w:name="note_41"/>
      <w:pPr>
        <w:keepLines/>
        <w:spacing w:after="140" w:line="254" w:lineRule="auto"/>
      </w:pPr>
      <w:bookmarkEnd w:id="2041"/>
      <w:r>
        <w:rPr>
          <w:sz w:val="24"/>
        </w:rPr>
        <w:t xml:space="preserve">41. United States Congress, Every Student Succeeds Act (December 10, 2015), Public Law 114–95. </w:t>
      </w:r>
      <w:hyperlink r:id="rId48">
        <w:r>
          <w:rPr>
            <w:color w:val="000000"/>
          </w:rPr>
          <w:t>Source</w:t>
        </w:r>
      </w:hyperlink>
    </w:p>
    <w:p>
      <w:bookmarkStart w:id="2042" w:name="note_42"/>
      <w:pPr>
        <w:keepLines/>
        <w:spacing w:after="140" w:line="254" w:lineRule="auto"/>
      </w:pPr>
      <w:bookmarkEnd w:id="2042"/>
      <w:r>
        <w:rPr>
          <w:sz w:val="24"/>
        </w:rPr>
        <w:t xml:space="preserve">42. United States Government Accountability Office, K–12 Education Selected Cases of Public and Private Schools That Hired or Retained Individuals with Histories of Sexual Misconduct (December 8, 2010), GAO–11–200, case selection and findings. </w:t>
      </w:r>
      <w:hyperlink r:id="rId49">
        <w:r>
          <w:rPr>
            <w:color w:val="000000"/>
          </w:rPr>
          <w:t>Source</w:t>
        </w:r>
      </w:hyperlink>
    </w:p>
    <w:p>
      <w:bookmarkStart w:id="2043" w:name="note_43"/>
      <w:pPr>
        <w:keepLines/>
        <w:spacing w:after="140" w:line="254" w:lineRule="auto"/>
      </w:pPr>
      <w:bookmarkEnd w:id="2043"/>
      <w:r>
        <w:rPr>
          <w:sz w:val="24"/>
        </w:rPr>
        <w:t xml:space="preserve">43. United States Government Accountability Office, Child Welfare Federal Agencies Can Better Support State Efforts to Prevent and Respond to Sexual Abuse by School Personnel (January 27, 2014), GAO–14–42, highlights. </w:t>
      </w:r>
      <w:hyperlink r:id="rId50">
        <w:r>
          <w:rPr>
            <w:color w:val="000000"/>
          </w:rPr>
          <w:t>Source</w:t>
        </w:r>
      </w:hyperlink>
    </w:p>
    <w:p>
      <w:bookmarkStart w:id="2044" w:name="note_44"/>
      <w:pPr>
        <w:keepLines/>
        <w:spacing w:after="140" w:line="254" w:lineRule="auto"/>
      </w:pPr>
      <w:bookmarkEnd w:id="2044"/>
      <w:r>
        <w:rPr>
          <w:sz w:val="24"/>
        </w:rPr>
        <w:t xml:space="preserve">44. United States Government Accountability Office, Junior Reserve Officers Training Corps Additional Actions Needed to Improve Oversight and Prevent Instructor Sexual Misconduct (January 20, 2026), GAO–26–107524, key takeaways and study methods. </w:t>
      </w:r>
      <w:hyperlink r:id="rId51">
        <w:r>
          <w:rPr>
            <w:color w:val="000000"/>
          </w:rPr>
          <w:t>Source</w:t>
        </w:r>
      </w:hyperlink>
    </w:p>
    <w:p>
      <w:bookmarkStart w:id="2045" w:name="note_45"/>
      <w:pPr>
        <w:keepLines/>
        <w:spacing w:after="140" w:line="254" w:lineRule="auto"/>
      </w:pPr>
      <w:bookmarkEnd w:id="2045"/>
      <w:r>
        <w:rPr>
          <w:sz w:val="24"/>
        </w:rPr>
        <w:t xml:space="preserve">45. United States Department of Education, Office of Educational Technology, A Call to Action for Closing the Digital Access Design and Use Divides (January 2024), 2024 National Educational Technology Plan, introduction. </w:t>
      </w:r>
      <w:hyperlink r:id="rId52">
        <w:r>
          <w:rPr>
            <w:color w:val="000000"/>
          </w:rPr>
          <w:t>Source</w:t>
        </w:r>
      </w:hyperlink>
    </w:p>
    <w:p>
      <w:bookmarkStart w:id="2046" w:name="note_46"/>
      <w:pPr>
        <w:keepLines/>
        <w:spacing w:after="140" w:line="254" w:lineRule="auto"/>
      </w:pPr>
      <w:bookmarkEnd w:id="2046"/>
      <w:r>
        <w:rPr>
          <w:sz w:val="24"/>
        </w:rPr>
        <w:t xml:space="preserve">46. United States Government Accountability Office, Pandemic Learning Less Academic Progress Overall Student and Teacher Strain and Implications for the Future (June 2022), GAO–22–105816, survey findings and limitations. </w:t>
      </w:r>
      <w:hyperlink r:id="rId53">
        <w:r>
          <w:rPr>
            <w:color w:val="000000"/>
          </w:rPr>
          <w:t>Source</w:t>
        </w:r>
      </w:hyperlink>
    </w:p>
    <w:p>
      <w:bookmarkStart w:id="2047" w:name="note_47"/>
      <w:pPr>
        <w:keepLines/>
        <w:spacing w:after="140" w:line="254" w:lineRule="auto"/>
      </w:pPr>
      <w:bookmarkEnd w:id="2047"/>
      <w:r>
        <w:rPr>
          <w:sz w:val="24"/>
        </w:rPr>
        <w:t xml:space="preserve">47. National Center for Education Statistics, 120 Years of Literacy (n.d.), Historical measurement discussion excerpted from 120 Years of American Education, 1993. </w:t>
      </w:r>
      <w:hyperlink r:id="rId54">
        <w:r>
          <w:rPr>
            <w:color w:val="000000"/>
          </w:rPr>
          <w:t>Source</w:t>
        </w:r>
      </w:hyperlink>
    </w:p>
    <w:p>
      <w:bookmarkStart w:id="2048" w:name="note_48"/>
      <w:pPr>
        <w:keepLines/>
        <w:spacing w:after="140" w:line="254" w:lineRule="auto"/>
      </w:pPr>
      <w:bookmarkEnd w:id="2048"/>
      <w:r>
        <w:rPr>
          <w:sz w:val="24"/>
        </w:rPr>
        <w:t xml:space="preserve">48. National Center for Education Statistics, Rates of high school completion and bachelor’s degree attainment among persons age 25 and over (Digest of Education Statistics 2023, table 104.10), High school completion or higher, total population, 1940 and 2020 rows; methodological notes. </w:t>
      </w:r>
      <w:hyperlink r:id="rId55">
        <w:r>
          <w:rPr>
            <w:color w:val="000000"/>
          </w:rPr>
          <w:t>Source</w:t>
        </w:r>
      </w:hyperlink>
    </w:p>
    <w:p>
      <w:bookmarkStart w:id="2049" w:name="note_49"/>
      <w:pPr>
        <w:keepLines/>
        <w:spacing w:after="140" w:line="254" w:lineRule="auto"/>
      </w:pPr>
      <w:bookmarkEnd w:id="2049"/>
      <w:r>
        <w:rPr>
          <w:sz w:val="24"/>
        </w:rPr>
        <w:t xml:space="preserve">49. National Center for Education Statistics, 2024 NAEP Reading Results (2025), Grade 4 national results and achievement level cautions. </w:t>
      </w:r>
      <w:hyperlink r:id="rId56">
        <w:r>
          <w:rPr>
            <w:color w:val="000000"/>
          </w:rPr>
          <w:t>Source</w:t>
        </w:r>
      </w:hyperlink>
    </w:p>
    <w:p>
      <w:bookmarkStart w:id="2050" w:name="note_50"/>
      <w:pPr>
        <w:keepLines/>
        <w:spacing w:after="140" w:line="254" w:lineRule="auto"/>
      </w:pPr>
      <w:bookmarkEnd w:id="2050"/>
      <w:r>
        <w:rPr>
          <w:sz w:val="24"/>
        </w:rPr>
        <w:t xml:space="preserve">50. National Coalition for Core Arts Standards, Frequently Asked Questions (n.d.; describes June 4, 2014 revision), Revision date and voluntary status; listed disciplines. </w:t>
      </w:r>
      <w:hyperlink r:id="rId57">
        <w:r>
          <w:rPr>
            <w:color w:val="000000"/>
          </w:rPr>
          <w:t>Source</w:t>
        </w:r>
      </w:hyperlink>
    </w:p>
    <w:p>
      <w:bookmarkStart w:id="2051" w:name="note_51"/>
      <w:pPr>
        <w:keepLines/>
        <w:spacing w:after="140" w:line="254" w:lineRule="auto"/>
      </w:pPr>
      <w:bookmarkEnd w:id="2051"/>
      <w:r>
        <w:rPr>
          <w:sz w:val="24"/>
        </w:rPr>
        <w:t xml:space="preserve">51. United States House of Representatives, History Art and Archives, National Defense Education Act. 1958 legislation and institutional historical description. </w:t>
      </w:r>
      <w:hyperlink r:id="rId16">
        <w:r>
          <w:rPr>
            <w:color w:val="000000"/>
          </w:rPr>
          <w:t>Source</w:t>
        </w:r>
      </w:hyperlink>
    </w:p>
    <w:sectPr w:rsidR="00FC693F" w:rsidRPr="0006063C" w:rsidSect="00034616">
      <w:headerReference w:type="default" r:id="rId9"/>
      <w:footerReference w:type="default" r:id="rId10"/>
      <w:pgSz w:w="12240" w:h="15840"/>
      <w:pgMar w:top="1037" w:right="1123" w:bottom="1008" w:left="1123" w:header="432"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Kristen Hall  •  Revised edition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HOW WE GOT HERE  /  EDUCATION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80"/>
    </w:pPr>
    <w:rPr>
      <w:rFonts w:ascii="DejaVu Sans" w:hAnsi="DejaVu Sans"/>
      <w:color w:val="000000"/>
      <w:rFonts w:ascii="DejaVu Sans" w:hAnsi="DejaVu Sans" w:eastAsia="DejaVu Sans"/>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color w:val="000000"/>
      <w:rFonts w:ascii="DejaVu Sans" w:hAnsi="DejaVu Sans" w:eastAsia="DejaVu Sans"/>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color w:val="000000"/>
      <w:rFonts w:ascii="DejaVu Sans" w:hAnsi="DejaVu Sans" w:eastAsia="DejaVu Sans"/>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line="254" w:lineRule="auto"/>
      <w:outlineLvl w:val="0"/>
    </w:pPr>
    <w:rPr>
      <w:rFonts w:asciiTheme="majorHAnsi" w:eastAsiaTheme="majorEastAsia" w:hAnsiTheme="majorHAnsi" w:cstheme="majorBidi" w:ascii="DejaVu Sans" w:hAnsi="DejaVu Sans"/>
      <w:b/>
      <w:bCs/>
      <w:color w:val="000000"/>
      <w:sz w:val="46"/>
      <w:szCs w:val="28"/>
      <w:rFonts w:ascii="DejaVu Sans" w:hAnsi="DejaVu Sans" w:eastAsia="DejaVu Sans"/>
    </w:rPr>
  </w:style>
  <w:style w:type="paragraph" w:styleId="Heading2">
    <w:name w:val="heading 2"/>
    <w:basedOn w:val="Normal"/>
    <w:next w:val="Normal"/>
    <w:link w:val="Heading2Char"/>
    <w:uiPriority w:val="9"/>
    <w:unhideWhenUsed/>
    <w:qFormat/>
    <w:rsid w:val="00FC693F"/>
    <w:pPr>
      <w:keepNext/>
      <w:keepLines/>
      <w:spacing w:before="320" w:after="200" w:line="254" w:lineRule="auto"/>
      <w:outlineLvl w:val="1"/>
    </w:pPr>
    <w:rPr>
      <w:rFonts w:asciiTheme="majorHAnsi" w:eastAsiaTheme="majorEastAsia" w:hAnsiTheme="majorHAnsi" w:cstheme="majorBidi" w:ascii="DejaVu Sans" w:hAnsi="DejaVu Sans"/>
      <w:b/>
      <w:bCs/>
      <w:color w:val="000000"/>
      <w:sz w:val="34"/>
      <w:szCs w:val="26"/>
      <w:rFonts w:ascii="DejaVu Sans" w:hAnsi="DejaVu Sans" w:eastAsia="DejaVu Sans"/>
    </w:rPr>
  </w:style>
  <w:style w:type="paragraph" w:styleId="Heading3">
    <w:name w:val="heading 3"/>
    <w:basedOn w:val="Normal"/>
    <w:next w:val="Normal"/>
    <w:link w:val="Heading3Char"/>
    <w:uiPriority w:val="9"/>
    <w:unhideWhenUsed/>
    <w:qFormat/>
    <w:rsid w:val="00FC693F"/>
    <w:pPr>
      <w:keepNext/>
      <w:keepLines/>
      <w:spacing w:before="320" w:after="200" w:line="254" w:lineRule="auto"/>
      <w:outlineLvl w:val="2"/>
    </w:pPr>
    <w:rPr>
      <w:rFonts w:asciiTheme="majorHAnsi" w:eastAsiaTheme="majorEastAsia" w:hAnsiTheme="majorHAnsi" w:cstheme="majorBidi" w:ascii="DejaVu Sans" w:hAnsi="DejaVu Sans"/>
      <w:b/>
      <w:bCs/>
      <w:color w:val="000000"/>
      <w:rFonts w:ascii="DejaVu Sans" w:hAnsi="DejaVu Sans" w:eastAsia="DejaVu Sans"/>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80"/>
      <w:szCs w:val="52"/>
      <w:rFonts w:ascii="DejaVu Sans" w:hAnsi="DejaVu Sans" w:eastAsia="DejaVu San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42"/>
      <w:szCs w:val="24"/>
      <w:rFonts w:ascii="DejaVu Sans" w:hAnsi="DejaVu Sans" w:eastAsia="DejaVu San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rchives.gov/milestone-documents/northwest-ordinance" TargetMode="External"/><Relationship Id="rId12" Type="http://schemas.openxmlformats.org/officeDocument/2006/relationships/hyperlink" Target="https://www.si.edu/object/mcguffeys-second-eclectic-reader-revised-edition-1920-william-holmes-mcguffey%3Anmah_1922746" TargetMode="External"/><Relationship Id="rId13" Type="http://schemas.openxmlformats.org/officeDocument/2006/relationships/hyperlink" Target="https://files.eric.ed.gov/fulltext/ED541063.pdf" TargetMode="External"/><Relationship Id="rId14" Type="http://schemas.openxmlformats.org/officeDocument/2006/relationships/hyperlink" Target="https://www.bia.gov/service/federal-indian-boarding-school-initiative" TargetMode="External"/><Relationship Id="rId15" Type="http://schemas.openxmlformats.org/officeDocument/2006/relationships/hyperlink" Target="https://files.eric.ed.gov/fulltext/ED226006.pdf" TargetMode="External"/><Relationship Id="rId16" Type="http://schemas.openxmlformats.org/officeDocument/2006/relationships/hyperlink" Target="https://history.house.gov/HouseRecord/Detail/15032436195" TargetMode="External"/><Relationship Id="rId17" Type="http://schemas.openxmlformats.org/officeDocument/2006/relationships/hyperlink" Target="https://www.archives.gov/milestone-documents/brown-v-board-of-education" TargetMode="External"/><Relationship Id="rId18" Type="http://schemas.openxmlformats.org/officeDocument/2006/relationships/hyperlink" Target="https://www.archives.gov/milestone-documents/civil-rights-act" TargetMode="External"/><Relationship Id="rId19" Type="http://schemas.openxmlformats.org/officeDocument/2006/relationships/hyperlink" Target="https://files.eric.ed.gov/fulltext/ED542444.pdf" TargetMode="External"/><Relationship Id="rId20" Type="http://schemas.openxmlformats.org/officeDocument/2006/relationships/hyperlink" Target="https://nces.ed.gov/nationsreportcard/civics/whatmeasure.aspx" TargetMode="External"/><Relationship Id="rId21" Type="http://schemas.openxmlformats.org/officeDocument/2006/relationships/hyperlink" Target="https://www.gutenberg.org/files/852/852-h/852-h.htm" TargetMode="External"/><Relationship Id="rId22" Type="http://schemas.openxmlformats.org/officeDocument/2006/relationships/hyperlink" Target="https://brittlebooks.library.illinois.edu/brittlebooks_closed/Books2008-02/counge0001darsch/counge0001darsch.pdf" TargetMode="External"/><Relationship Id="rId23" Type="http://schemas.openxmlformats.org/officeDocument/2006/relationships/hyperlink" Target="https://www.nichd.nih.gov/publications/pubs/nrp/findings" TargetMode="External"/><Relationship Id="rId24" Type="http://schemas.openxmlformats.org/officeDocument/2006/relationships/hyperlink" Target="https://www.gutenberg.org/files/14668/14668-h/14668-h.htm" TargetMode="External"/><Relationship Id="rId25" Type="http://schemas.openxmlformats.org/officeDocument/2006/relationships/hyperlink" Target="https://www.thecorestandards.org/assets/Appendix_B.pdf" TargetMode="External"/><Relationship Id="rId26" Type="http://schemas.openxmlformats.org/officeDocument/2006/relationships/hyperlink" Target="https://www.nysedregents.org/USHistoryGov/Archive/19980127exam.pdf" TargetMode="External"/><Relationship Id="rId27" Type="http://schemas.openxmlformats.org/officeDocument/2006/relationships/hyperlink" Target="https://www.nysedregents.org/us-history-govt/125/ushg-12025-exam.pdf" TargetMode="External"/><Relationship Id="rId28" Type="http://schemas.openxmlformats.org/officeDocument/2006/relationships/hyperlink" Target="https://www.nsf.gov/about/history/narrative" TargetMode="External"/><Relationship Id="rId29" Type="http://schemas.openxmlformats.org/officeDocument/2006/relationships/hyperlink" Target="https://www.nationsreportcard.gov/reports/mathematics/2024/g4_8/" TargetMode="External"/><Relationship Id="rId30" Type="http://schemas.openxmlformats.org/officeDocument/2006/relationships/hyperlink" Target="https://tile.loc.gov/storage-services/service/ll/usrep/usrep370/usrep370421/usrep370421.pdf" TargetMode="External"/><Relationship Id="rId31" Type="http://schemas.openxmlformats.org/officeDocument/2006/relationships/hyperlink" Target="https://tile.loc.gov/storage-services/service/ll/usrep/usrep374/usrep374203/usrep374203.pdf" TargetMode="External"/><Relationship Id="rId32" Type="http://schemas.openxmlformats.org/officeDocument/2006/relationships/hyperlink" Target="https://tile.loc.gov/storage-services/service/ll/usrep/usrep319/usrep319624/usrep319624.pdf" TargetMode="External"/><Relationship Id="rId33" Type="http://schemas.openxmlformats.org/officeDocument/2006/relationships/hyperlink" Target="https://www.gao.gov/products/gao-23-105348" TargetMode="External"/><Relationship Id="rId34" Type="http://schemas.openxmlformats.org/officeDocument/2006/relationships/hyperlink" Target="https://tile.loc.gov/storage-services/service/ll/usrep/usrep393/usrep393503/usrep393503.pdf" TargetMode="External"/><Relationship Id="rId35" Type="http://schemas.openxmlformats.org/officeDocument/2006/relationships/hyperlink" Target="https://www.jfklibrary.org/asset-viewer/archives/JFKPOF/094/JFKPOF-094-003" TargetMode="External"/><Relationship Id="rId36" Type="http://schemas.openxmlformats.org/officeDocument/2006/relationships/hyperlink" Target="https://www.archives.gov/women/other-legislation" TargetMode="External"/><Relationship Id="rId37" Type="http://schemas.openxmlformats.org/officeDocument/2006/relationships/hyperlink" Target="https://www.archives.gov/research/guide-fed-records/groups/012.html" TargetMode="External"/><Relationship Id="rId38" Type="http://schemas.openxmlformats.org/officeDocument/2006/relationships/hyperlink" Target="https://www.aafcs.org/about/about-aafcs/faq" TargetMode="External"/><Relationship Id="rId39" Type="http://schemas.openxmlformats.org/officeDocument/2006/relationships/hyperlink" Target="https://www.dol.gov/node/22272" TargetMode="External"/><Relationship Id="rId40" Type="http://schemas.openxmlformats.org/officeDocument/2006/relationships/hyperlink" Target="https://octae.ed.gov/cte/legislation/perkins-v" TargetMode="External"/><Relationship Id="rId41" Type="http://schemas.openxmlformats.org/officeDocument/2006/relationships/hyperlink" Target="https://catalog.mcla.edu/graduate/college-history/" TargetMode="External"/><Relationship Id="rId42" Type="http://schemas.openxmlformats.org/officeDocument/2006/relationships/hyperlink" Target="https://ncees.org/about/" TargetMode="External"/><Relationship Id="rId43" Type="http://schemas.openxmlformats.org/officeDocument/2006/relationships/hyperlink" Target="https://timeline.ncsbn.org/years/1986-1994" TargetMode="External"/><Relationship Id="rId44" Type="http://schemas.openxmlformats.org/officeDocument/2006/relationships/hyperlink" Target="https://archive.carnegiefoundation.org/publications/pdfs/elibrary/Carnegie_Flexner_Report.pdf" TargetMode="External"/><Relationship Id="rId45" Type="http://schemas.openxmlformats.org/officeDocument/2006/relationships/hyperlink" Target="https://sites.ed.gov/idea/IDEA-History" TargetMode="External"/><Relationship Id="rId46" Type="http://schemas.openxmlformats.org/officeDocument/2006/relationships/hyperlink" Target="https://www.archives.gov/milestone-documents/servicemens-readjustment-act" TargetMode="External"/><Relationship Id="rId47" Type="http://schemas.openxmlformats.org/officeDocument/2006/relationships/hyperlink" Target="https://www.ed.gov/laws-and-policy/laws-preschool-grade-12-education/every-student-succeeds-act-essa/every-student-succeeds-act-essa-new-education-law" TargetMode="External"/><Relationship Id="rId48" Type="http://schemas.openxmlformats.org/officeDocument/2006/relationships/hyperlink" Target="https://www.govinfo.gov/content/pkg/PLAW-114publ95/html/PLAW-114publ95.htm" TargetMode="External"/><Relationship Id="rId49" Type="http://schemas.openxmlformats.org/officeDocument/2006/relationships/hyperlink" Target="https://www.gao.gov/products/gao-11-200" TargetMode="External"/><Relationship Id="rId50" Type="http://schemas.openxmlformats.org/officeDocument/2006/relationships/hyperlink" Target="https://www.gao.gov/products/gao-14-42" TargetMode="External"/><Relationship Id="rId51" Type="http://schemas.openxmlformats.org/officeDocument/2006/relationships/hyperlink" Target="https://www.gao.gov/products/gao-26-107524" TargetMode="External"/><Relationship Id="rId52" Type="http://schemas.openxmlformats.org/officeDocument/2006/relationships/hyperlink" Target="https://files.eric.ed.gov/fulltext/ED641164.pdf" TargetMode="External"/><Relationship Id="rId53" Type="http://schemas.openxmlformats.org/officeDocument/2006/relationships/hyperlink" Target="https://www.gao.gov/products/gao-22-105816" TargetMode="External"/><Relationship Id="rId54" Type="http://schemas.openxmlformats.org/officeDocument/2006/relationships/hyperlink" Target="https://nces.ed.gov/naal/lit_history.asp" TargetMode="External"/><Relationship Id="rId55" Type="http://schemas.openxmlformats.org/officeDocument/2006/relationships/hyperlink" Target="https://nces.ed.gov/programs/digest/d23/tables/dt23_104.10.asp" TargetMode="External"/><Relationship Id="rId56" Type="http://schemas.openxmlformats.org/officeDocument/2006/relationships/hyperlink" Target="https://www.nationsreportcard.gov/reports/reading/2024/g4_8/" TargetMode="External"/><Relationship Id="rId57" Type="http://schemas.openxmlformats.org/officeDocument/2006/relationships/hyperlink" Target="https://nationalartsstandards.org/content/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We Got Here Education in America 1926 to 2026</dc:title>
  <dc:subject>Education in America and a framework for tracing historical change</dc:subject>
  <dc:creator>Kristen Hall</dc:creator>
  <cp:keywords>BB2G, education, history, language, curriculum, primary sources</cp:keywords>
  <dc:description>Revised documentary edition. Documentary synthesis and proposed author text.</dc:description>
  <cp:lastModifiedBy/>
  <cp:revision>1</cp:revision>
  <dcterms:created xsi:type="dcterms:W3CDTF">2013-12-23T23:15:00Z</dcterms:created>
  <dcterms:modified xsi:type="dcterms:W3CDTF">2013-12-23T23:15:00Z</dcterms:modified>
  <cp:category/>
</cp:coreProperties>
</file>